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D6A4" w14:textId="103514C5" w:rsidR="00387CB1" w:rsidRDefault="00EA5E14">
      <w:r>
        <w:rPr>
          <w:noProof/>
        </w:rPr>
        <w:drawing>
          <wp:inline distT="0" distB="0" distL="0" distR="0" wp14:anchorId="3FC2B3F4" wp14:editId="01751B6A">
            <wp:extent cx="2048510" cy="1286510"/>
            <wp:effectExtent l="0" t="0" r="8890" b="8890"/>
            <wp:docPr id="49313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8510" cy="1286510"/>
                    </a:xfrm>
                    <a:prstGeom prst="rect">
                      <a:avLst/>
                    </a:prstGeom>
                    <a:noFill/>
                  </pic:spPr>
                </pic:pic>
              </a:graphicData>
            </a:graphic>
          </wp:inline>
        </w:drawing>
      </w:r>
      <w:r>
        <w:rPr>
          <w:noProof/>
        </w:rPr>
        <w:drawing>
          <wp:inline distT="0" distB="0" distL="0" distR="0" wp14:anchorId="57A05BA5" wp14:editId="316B7A1A">
            <wp:extent cx="3529965" cy="1310640"/>
            <wp:effectExtent l="0" t="0" r="0" b="0"/>
            <wp:docPr id="703395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9965" cy="1310640"/>
                    </a:xfrm>
                    <a:prstGeom prst="rect">
                      <a:avLst/>
                    </a:prstGeom>
                    <a:noFill/>
                  </pic:spPr>
                </pic:pic>
              </a:graphicData>
            </a:graphic>
          </wp:inline>
        </w:drawing>
      </w:r>
    </w:p>
    <w:p w14:paraId="13D2FA98" w14:textId="77777777" w:rsidR="00EA5E14" w:rsidRDefault="00EA5E14"/>
    <w:p w14:paraId="640608F5" w14:textId="7E999913" w:rsidR="00EA5E14" w:rsidRDefault="00EA5E14">
      <w:pPr>
        <w:rPr>
          <w:rFonts w:ascii="Gill Sans MT" w:hAnsi="Gill Sans MT"/>
          <w:b/>
          <w:bCs/>
          <w:sz w:val="32"/>
          <w:szCs w:val="32"/>
        </w:rPr>
      </w:pPr>
      <w:r w:rsidRPr="00EA5E14">
        <w:rPr>
          <w:rFonts w:ascii="Gill Sans MT" w:hAnsi="Gill Sans MT"/>
          <w:b/>
          <w:bCs/>
          <w:sz w:val="32"/>
          <w:szCs w:val="32"/>
        </w:rPr>
        <w:t>GUIDELINES FOR RESEARCH DATA STORAGE</w:t>
      </w:r>
    </w:p>
    <w:p w14:paraId="097E17A9" w14:textId="77777777" w:rsidR="00EA5E14" w:rsidRDefault="00EA5E14" w:rsidP="00EA5E14">
      <w:pPr>
        <w:pStyle w:val="NormalWeb"/>
        <w:spacing w:line="300" w:lineRule="atLeast"/>
        <w:jc w:val="both"/>
        <w:rPr>
          <w:rFonts w:ascii="Gill Sans MT" w:hAnsi="Gill Sans MT" w:cs="Segoe UI"/>
          <w:b/>
          <w:bCs/>
        </w:rPr>
      </w:pPr>
      <w:r w:rsidRPr="00EA5E14">
        <w:rPr>
          <w:rFonts w:ascii="Gill Sans MT" w:hAnsi="Gill Sans MT" w:cs="Segoe UI"/>
        </w:rPr>
        <w:t>The</w:t>
      </w:r>
      <w:r w:rsidRPr="00EA5E14">
        <w:rPr>
          <w:rFonts w:ascii="Gill Sans MT" w:hAnsi="Gill Sans MT" w:cs="Segoe UI"/>
          <w:b/>
          <w:bCs/>
        </w:rPr>
        <w:t xml:space="preserve"> </w:t>
      </w:r>
      <w:r w:rsidRPr="00EA5E14">
        <w:rPr>
          <w:rStyle w:val="Strong"/>
          <w:rFonts w:ascii="Gill Sans MT" w:eastAsiaTheme="majorEastAsia" w:hAnsi="Gill Sans MT" w:cs="Segoe UI"/>
          <w:b w:val="0"/>
          <w:bCs w:val="0"/>
        </w:rPr>
        <w:t>responsibility for the secure collection, management, and storage of research data lies with the investigators/researchers</w:t>
      </w:r>
      <w:r w:rsidRPr="00EA5E14">
        <w:rPr>
          <w:rFonts w:ascii="Gill Sans MT" w:hAnsi="Gill Sans MT" w:cs="Segoe UI"/>
          <w:b/>
          <w:bCs/>
        </w:rPr>
        <w:t xml:space="preserve">, </w:t>
      </w:r>
      <w:r w:rsidRPr="00EA5E14">
        <w:rPr>
          <w:rFonts w:ascii="Gill Sans MT" w:hAnsi="Gill Sans MT" w:cs="Segoe UI"/>
        </w:rPr>
        <w:t>in full compliance with</w:t>
      </w:r>
      <w:r w:rsidRPr="00EA5E14">
        <w:rPr>
          <w:rFonts w:ascii="Gill Sans MT" w:hAnsi="Gill Sans MT" w:cs="Segoe UI"/>
          <w:b/>
          <w:bCs/>
        </w:rPr>
        <w:t xml:space="preserve"> </w:t>
      </w:r>
      <w:r w:rsidRPr="00EA5E14">
        <w:rPr>
          <w:rStyle w:val="Strong"/>
          <w:rFonts w:ascii="Gill Sans MT" w:eastAsiaTheme="majorEastAsia" w:hAnsi="Gill Sans MT" w:cs="Segoe UI"/>
          <w:b w:val="0"/>
          <w:bCs w:val="0"/>
        </w:rPr>
        <w:t>relevant national legislation</w:t>
      </w:r>
      <w:r w:rsidRPr="00EA5E14">
        <w:rPr>
          <w:rFonts w:ascii="Gill Sans MT" w:hAnsi="Gill Sans MT" w:cs="Segoe UI"/>
          <w:b/>
          <w:bCs/>
        </w:rPr>
        <w:t xml:space="preserve"> </w:t>
      </w:r>
      <w:r w:rsidRPr="00EA5E14">
        <w:rPr>
          <w:rFonts w:ascii="Gill Sans MT" w:hAnsi="Gill Sans MT" w:cs="Segoe UI"/>
        </w:rPr>
        <w:t>including the</w:t>
      </w:r>
      <w:r w:rsidRPr="00EA5E14">
        <w:rPr>
          <w:rFonts w:ascii="Gill Sans MT" w:hAnsi="Gill Sans MT" w:cs="Segoe UI"/>
          <w:b/>
          <w:bCs/>
        </w:rPr>
        <w:t xml:space="preserve"> </w:t>
      </w:r>
      <w:r w:rsidRPr="00EA5E14">
        <w:rPr>
          <w:rStyle w:val="Strong"/>
          <w:rFonts w:ascii="Gill Sans MT" w:eastAsiaTheme="majorEastAsia" w:hAnsi="Gill Sans MT" w:cs="Segoe UI"/>
          <w:b w:val="0"/>
          <w:bCs w:val="0"/>
        </w:rPr>
        <w:t>Protection of Personal Information Act (POPIA)</w:t>
      </w:r>
      <w:r w:rsidRPr="00EA5E14">
        <w:rPr>
          <w:rFonts w:ascii="Gill Sans MT" w:hAnsi="Gill Sans MT" w:cs="Segoe UI"/>
          <w:b/>
          <w:bCs/>
        </w:rPr>
        <w:t xml:space="preserve"> </w:t>
      </w:r>
      <w:r w:rsidRPr="00EA5E14">
        <w:rPr>
          <w:rFonts w:ascii="Gill Sans MT" w:hAnsi="Gill Sans MT" w:cs="Segoe UI"/>
        </w:rPr>
        <w:t>and DUT’s</w:t>
      </w:r>
      <w:r w:rsidRPr="00EA5E14">
        <w:rPr>
          <w:rFonts w:ascii="Gill Sans MT" w:hAnsi="Gill Sans MT" w:cs="Segoe UI"/>
          <w:b/>
          <w:bCs/>
        </w:rPr>
        <w:t xml:space="preserve"> </w:t>
      </w:r>
      <w:r w:rsidRPr="00EA5E14">
        <w:rPr>
          <w:rStyle w:val="Strong"/>
          <w:rFonts w:ascii="Gill Sans MT" w:eastAsiaTheme="majorEastAsia" w:hAnsi="Gill Sans MT" w:cs="Segoe UI"/>
          <w:b w:val="0"/>
          <w:bCs w:val="0"/>
        </w:rPr>
        <w:t>Research Data Management</w:t>
      </w:r>
      <w:r w:rsidRPr="00EA5E14">
        <w:rPr>
          <w:rFonts w:ascii="Gill Sans MT" w:hAnsi="Gill Sans MT" w:cs="Segoe UI"/>
          <w:b/>
          <w:bCs/>
        </w:rPr>
        <w:t xml:space="preserve"> </w:t>
      </w:r>
      <w:r w:rsidRPr="00EA5E14">
        <w:rPr>
          <w:rFonts w:ascii="Gill Sans MT" w:hAnsi="Gill Sans MT" w:cs="Segoe UI"/>
        </w:rPr>
        <w:t>and</w:t>
      </w:r>
      <w:r w:rsidRPr="00EA5E14">
        <w:rPr>
          <w:rFonts w:ascii="Gill Sans MT" w:hAnsi="Gill Sans MT" w:cs="Segoe UI"/>
          <w:b/>
          <w:bCs/>
        </w:rPr>
        <w:t xml:space="preserve"> </w:t>
      </w:r>
      <w:r w:rsidRPr="00EA5E14">
        <w:rPr>
          <w:rStyle w:val="Strong"/>
          <w:rFonts w:ascii="Gill Sans MT" w:eastAsiaTheme="majorEastAsia" w:hAnsi="Gill Sans MT" w:cs="Segoe UI"/>
          <w:b w:val="0"/>
          <w:bCs w:val="0"/>
        </w:rPr>
        <w:t>Research Ethics</w:t>
      </w:r>
      <w:r w:rsidRPr="00EA5E14">
        <w:rPr>
          <w:rFonts w:ascii="Gill Sans MT" w:hAnsi="Gill Sans MT" w:cs="Segoe UI"/>
          <w:b/>
          <w:bCs/>
        </w:rPr>
        <w:t xml:space="preserve"> </w:t>
      </w:r>
      <w:r w:rsidRPr="00EA5E14">
        <w:rPr>
          <w:rFonts w:ascii="Gill Sans MT" w:hAnsi="Gill Sans MT" w:cs="Segoe UI"/>
        </w:rPr>
        <w:t>policies</w:t>
      </w:r>
      <w:r w:rsidRPr="00EA5E14">
        <w:rPr>
          <w:rFonts w:ascii="Gill Sans MT" w:hAnsi="Gill Sans MT" w:cs="Segoe UI"/>
          <w:b/>
          <w:bCs/>
        </w:rPr>
        <w:t>.</w:t>
      </w:r>
    </w:p>
    <w:p w14:paraId="5535736A" w14:textId="3CF411EF" w:rsidR="00EA5E14" w:rsidRDefault="00EA5E14" w:rsidP="00EA5E14">
      <w:pPr>
        <w:pStyle w:val="NormalWeb"/>
        <w:spacing w:line="300" w:lineRule="atLeast"/>
        <w:jc w:val="both"/>
        <w:rPr>
          <w:rFonts w:ascii="Gill Sans MT" w:hAnsi="Gill Sans MT" w:cs="Segoe UI"/>
        </w:rPr>
      </w:pPr>
      <w:r w:rsidRPr="00EA5E14">
        <w:rPr>
          <w:rFonts w:ascii="Gill Sans MT" w:hAnsi="Gill Sans MT" w:cs="Segoe UI"/>
        </w:rPr>
        <w:t xml:space="preserve">The guidelines outlined below identify key areas where the University has established </w:t>
      </w:r>
      <w:r w:rsidRPr="00EA5E14">
        <w:rPr>
          <w:rStyle w:val="Strong"/>
          <w:rFonts w:ascii="Gill Sans MT" w:eastAsiaTheme="majorEastAsia" w:hAnsi="Gill Sans MT" w:cs="Segoe UI"/>
          <w:b w:val="0"/>
          <w:bCs w:val="0"/>
        </w:rPr>
        <w:t>best practice standards</w:t>
      </w:r>
      <w:r w:rsidRPr="00EA5E14">
        <w:rPr>
          <w:rFonts w:ascii="Gill Sans MT" w:hAnsi="Gill Sans MT" w:cs="Segoe UI"/>
        </w:rPr>
        <w:t xml:space="preserve"> to ensure that research data is handled ethically, securely, and responsibly. </w:t>
      </w:r>
      <w:r w:rsidR="002C13DC" w:rsidRPr="002C13DC">
        <w:rPr>
          <w:rFonts w:ascii="Gill Sans MT" w:hAnsi="Gill Sans MT" w:cs="Segoe UI"/>
        </w:rPr>
        <w:t>These standards apply to all researchers, supervisors, and students engaged in research activities at DUT and cover the full data management lifecycle, from collection to long term archiving and disposal.</w:t>
      </w:r>
    </w:p>
    <w:p w14:paraId="01AF29B5" w14:textId="676E89C3" w:rsidR="002C13DC" w:rsidRPr="002C13DC" w:rsidRDefault="002C13DC" w:rsidP="00EA5E14">
      <w:pPr>
        <w:pStyle w:val="NormalWeb"/>
        <w:spacing w:line="300" w:lineRule="atLeast"/>
        <w:jc w:val="both"/>
        <w:rPr>
          <w:rFonts w:ascii="Gill Sans MT" w:hAnsi="Gill Sans MT" w:cs="Segoe UI"/>
          <w:b/>
          <w:bCs/>
        </w:rPr>
      </w:pPr>
      <w:r w:rsidRPr="002C13DC">
        <w:rPr>
          <w:rFonts w:ascii="Gill Sans MT" w:hAnsi="Gill Sans MT" w:cs="Segoe UI"/>
          <w:b/>
          <w:bCs/>
        </w:rPr>
        <w:t>1.</w:t>
      </w:r>
      <w:r w:rsidRPr="002C13DC">
        <w:rPr>
          <w:rFonts w:ascii="Gill Sans MT" w:hAnsi="Gill Sans MT" w:cs="Segoe UI"/>
        </w:rPr>
        <w:tab/>
      </w:r>
      <w:r w:rsidRPr="002C13DC">
        <w:rPr>
          <w:rFonts w:ascii="Gill Sans MT" w:hAnsi="Gill Sans MT" w:cs="Segoe UI"/>
          <w:b/>
          <w:bCs/>
        </w:rPr>
        <w:t>Purpose for Compliance with these guidelines:</w:t>
      </w:r>
    </w:p>
    <w:p w14:paraId="0FB35B2B" w14:textId="276ABEE6" w:rsidR="00931B6A" w:rsidRPr="00931B6A" w:rsidRDefault="00931B6A" w:rsidP="00931B6A">
      <w:pPr>
        <w:pStyle w:val="NormalWeb"/>
        <w:numPr>
          <w:ilvl w:val="0"/>
          <w:numId w:val="5"/>
        </w:numPr>
        <w:spacing w:line="300" w:lineRule="atLeast"/>
        <w:jc w:val="both"/>
        <w:rPr>
          <w:rFonts w:ascii="Gill Sans MT" w:hAnsi="Gill Sans MT" w:cs="Segoe UI"/>
        </w:rPr>
      </w:pPr>
      <w:r w:rsidRPr="00931B6A">
        <w:rPr>
          <w:rFonts w:ascii="Gill Sans MT" w:hAnsi="Gill Sans MT" w:cs="Segoe UI"/>
        </w:rPr>
        <w:t>Protect the rights, privacy, and autonomy of research participants by ensuring that all data is collected, stored, managed, and disposed of in a secure and ethically responsible manner, in line with the Protection of Personal Information Act (POPIA) and the DUT Research Data Management Policy.</w:t>
      </w:r>
    </w:p>
    <w:p w14:paraId="6EBD3EE2" w14:textId="7FD883DE" w:rsidR="00931B6A" w:rsidRPr="00931B6A" w:rsidRDefault="00931B6A" w:rsidP="00931B6A">
      <w:pPr>
        <w:pStyle w:val="NormalWeb"/>
        <w:numPr>
          <w:ilvl w:val="0"/>
          <w:numId w:val="5"/>
        </w:numPr>
        <w:spacing w:line="300" w:lineRule="atLeast"/>
        <w:jc w:val="both"/>
        <w:rPr>
          <w:rFonts w:ascii="Gill Sans MT" w:hAnsi="Gill Sans MT" w:cs="Segoe UI"/>
        </w:rPr>
      </w:pPr>
      <w:r w:rsidRPr="00931B6A">
        <w:rPr>
          <w:rFonts w:ascii="Gill Sans MT" w:hAnsi="Gill Sans MT" w:cs="Segoe UI"/>
        </w:rPr>
        <w:t>Support researchers and investigators in fulfilling their legal, ethical, and institutional obligations regarding data handling, security, and confidentiality throughout the research lifecycle.</w:t>
      </w:r>
    </w:p>
    <w:p w14:paraId="6D226221" w14:textId="4D7FA653" w:rsidR="00931B6A" w:rsidRPr="00931B6A" w:rsidRDefault="00931B6A" w:rsidP="00931B6A">
      <w:pPr>
        <w:pStyle w:val="NormalWeb"/>
        <w:numPr>
          <w:ilvl w:val="0"/>
          <w:numId w:val="5"/>
        </w:numPr>
        <w:spacing w:line="300" w:lineRule="atLeast"/>
        <w:jc w:val="both"/>
        <w:rPr>
          <w:rFonts w:ascii="Gill Sans MT" w:hAnsi="Gill Sans MT" w:cs="Segoe UI"/>
        </w:rPr>
      </w:pPr>
      <w:r w:rsidRPr="00931B6A">
        <w:rPr>
          <w:rFonts w:ascii="Gill Sans MT" w:hAnsi="Gill Sans MT" w:cs="Segoe UI"/>
        </w:rPr>
        <w:t>Protect researchers/investigators from allegations of research misconduct by promoting transparent, accountable, and traceable data management practices that meet national and institutional standards.</w:t>
      </w:r>
    </w:p>
    <w:p w14:paraId="00A342B1" w14:textId="37C230B6" w:rsidR="00EA5E14" w:rsidRDefault="00931B6A" w:rsidP="002C13DC">
      <w:pPr>
        <w:pStyle w:val="NormalWeb"/>
        <w:numPr>
          <w:ilvl w:val="0"/>
          <w:numId w:val="5"/>
        </w:numPr>
        <w:spacing w:line="300" w:lineRule="atLeast"/>
        <w:jc w:val="both"/>
        <w:rPr>
          <w:rFonts w:ascii="Gill Sans MT" w:hAnsi="Gill Sans MT" w:cs="Segoe UI"/>
        </w:rPr>
      </w:pPr>
      <w:r w:rsidRPr="00931B6A">
        <w:rPr>
          <w:rFonts w:ascii="Gill Sans MT" w:hAnsi="Gill Sans MT" w:cs="Segoe UI"/>
        </w:rPr>
        <w:t>Ensure DUT’s compliance with relevant legislation and research governance requirements, including POPIA, the National Health Act (where applicable), the National Research Ethics Guidelines, and the University's Research Ethics and Research Data Management policies.</w:t>
      </w:r>
    </w:p>
    <w:p w14:paraId="124223AC" w14:textId="77777777" w:rsidR="00EA5E14" w:rsidRPr="002C13DC" w:rsidRDefault="00EA5E14" w:rsidP="002C13DC">
      <w:pPr>
        <w:pStyle w:val="NormalWeb"/>
        <w:numPr>
          <w:ilvl w:val="0"/>
          <w:numId w:val="5"/>
        </w:numPr>
        <w:spacing w:line="300" w:lineRule="atLeast"/>
        <w:jc w:val="both"/>
        <w:rPr>
          <w:rStyle w:val="cf01"/>
          <w:rFonts w:ascii="Gill Sans MT" w:hAnsi="Gill Sans MT"/>
          <w:sz w:val="24"/>
          <w:szCs w:val="24"/>
        </w:rPr>
      </w:pPr>
      <w:r w:rsidRPr="002C13DC">
        <w:rPr>
          <w:rStyle w:val="cf01"/>
          <w:rFonts w:ascii="Gill Sans MT" w:eastAsiaTheme="majorEastAsia" w:hAnsi="Gill Sans MT"/>
          <w:sz w:val="24"/>
          <w:szCs w:val="24"/>
        </w:rPr>
        <w:t>Protection of researchers against misconduct allegations</w:t>
      </w:r>
    </w:p>
    <w:p w14:paraId="0E5F26C6" w14:textId="77777777" w:rsidR="00EA5E14" w:rsidRPr="002C13DC" w:rsidRDefault="00EA5E14" w:rsidP="002C13DC">
      <w:pPr>
        <w:pStyle w:val="NormalWeb"/>
        <w:numPr>
          <w:ilvl w:val="0"/>
          <w:numId w:val="5"/>
        </w:numPr>
        <w:spacing w:line="300" w:lineRule="atLeast"/>
        <w:jc w:val="both"/>
        <w:rPr>
          <w:rFonts w:ascii="Gill Sans MT" w:hAnsi="Gill Sans MT" w:cs="Segoe UI"/>
        </w:rPr>
      </w:pPr>
      <w:r w:rsidRPr="002C13DC">
        <w:rPr>
          <w:rStyle w:val="cf01"/>
          <w:rFonts w:ascii="Gill Sans MT" w:eastAsiaTheme="majorEastAsia" w:hAnsi="Gill Sans MT"/>
          <w:sz w:val="24"/>
          <w:szCs w:val="24"/>
        </w:rPr>
        <w:t>Institutional compliance with legislation and ethics governance</w:t>
      </w:r>
    </w:p>
    <w:p w14:paraId="735F3C20" w14:textId="77777777" w:rsidR="00EA5E14" w:rsidRPr="00EA5E14" w:rsidRDefault="00EA5E14" w:rsidP="00EA5E14">
      <w:pPr>
        <w:pStyle w:val="pf1"/>
        <w:rPr>
          <w:rFonts w:ascii="Gill Sans MT" w:hAnsi="Gill Sans MT" w:cs="Arial"/>
        </w:rPr>
      </w:pPr>
      <w:r w:rsidRPr="00EA5E14">
        <w:rPr>
          <w:rStyle w:val="cf01"/>
          <w:rFonts w:ascii="Gill Sans MT" w:eastAsiaTheme="majorEastAsia" w:hAnsi="Gill Sans MT"/>
          <w:sz w:val="24"/>
          <w:szCs w:val="24"/>
        </w:rPr>
        <w:t xml:space="preserve">This framing is </w:t>
      </w:r>
      <w:r w:rsidRPr="002C13DC">
        <w:rPr>
          <w:rStyle w:val="cf21"/>
          <w:rFonts w:ascii="Gill Sans MT" w:eastAsiaTheme="majorEastAsia" w:hAnsi="Gill Sans MT"/>
          <w:b w:val="0"/>
          <w:bCs w:val="0"/>
          <w:sz w:val="24"/>
          <w:szCs w:val="24"/>
        </w:rPr>
        <w:t>essential for IREC</w:t>
      </w:r>
      <w:r w:rsidRPr="00EA5E14">
        <w:rPr>
          <w:rStyle w:val="cf01"/>
          <w:rFonts w:ascii="Gill Sans MT" w:eastAsiaTheme="majorEastAsia" w:hAnsi="Gill Sans MT"/>
          <w:sz w:val="24"/>
          <w:szCs w:val="24"/>
        </w:rPr>
        <w:t>, as it explicitly links data storage to:</w:t>
      </w:r>
    </w:p>
    <w:p w14:paraId="2792970B" w14:textId="77777777" w:rsidR="00EA5E14" w:rsidRPr="00EA5E14" w:rsidRDefault="00EA5E14" w:rsidP="00EA5E14">
      <w:pPr>
        <w:pStyle w:val="pf0"/>
        <w:numPr>
          <w:ilvl w:val="0"/>
          <w:numId w:val="4"/>
        </w:numPr>
        <w:rPr>
          <w:rFonts w:ascii="Gill Sans MT" w:hAnsi="Gill Sans MT" w:cs="Arial"/>
        </w:rPr>
      </w:pPr>
      <w:r w:rsidRPr="00EA5E14">
        <w:rPr>
          <w:rStyle w:val="cf01"/>
          <w:rFonts w:ascii="Gill Sans MT" w:eastAsiaTheme="majorEastAsia" w:hAnsi="Gill Sans MT"/>
          <w:sz w:val="24"/>
          <w:szCs w:val="24"/>
        </w:rPr>
        <w:t>Ethical accountability</w:t>
      </w:r>
    </w:p>
    <w:p w14:paraId="3DB94329" w14:textId="77777777" w:rsidR="00EA5E14" w:rsidRPr="00EA5E14" w:rsidRDefault="00EA5E14" w:rsidP="00EA5E14">
      <w:pPr>
        <w:pStyle w:val="pf0"/>
        <w:numPr>
          <w:ilvl w:val="0"/>
          <w:numId w:val="4"/>
        </w:numPr>
        <w:rPr>
          <w:rFonts w:ascii="Gill Sans MT" w:hAnsi="Gill Sans MT" w:cs="Arial"/>
        </w:rPr>
      </w:pPr>
      <w:r w:rsidRPr="00EA5E14">
        <w:rPr>
          <w:rStyle w:val="cf01"/>
          <w:rFonts w:ascii="Gill Sans MT" w:eastAsiaTheme="majorEastAsia" w:hAnsi="Gill Sans MT"/>
          <w:sz w:val="24"/>
          <w:szCs w:val="24"/>
        </w:rPr>
        <w:t>Legal compliance (POPIA, National Health Act where applicable)</w:t>
      </w:r>
    </w:p>
    <w:p w14:paraId="07523E49" w14:textId="77777777" w:rsidR="00EA5E14" w:rsidRPr="002C13DC" w:rsidRDefault="00EA5E14" w:rsidP="00EA5E14">
      <w:pPr>
        <w:pStyle w:val="pf0"/>
        <w:numPr>
          <w:ilvl w:val="0"/>
          <w:numId w:val="4"/>
        </w:numPr>
        <w:rPr>
          <w:rStyle w:val="cf01"/>
          <w:rFonts w:ascii="Gill Sans MT" w:hAnsi="Gill Sans MT" w:cs="Arial"/>
          <w:sz w:val="24"/>
          <w:szCs w:val="24"/>
        </w:rPr>
      </w:pPr>
      <w:r w:rsidRPr="00EA5E14">
        <w:rPr>
          <w:rStyle w:val="cf01"/>
          <w:rFonts w:ascii="Gill Sans MT" w:eastAsiaTheme="majorEastAsia" w:hAnsi="Gill Sans MT"/>
          <w:sz w:val="24"/>
          <w:szCs w:val="24"/>
        </w:rPr>
        <w:t>Research integrity and reproducibility</w:t>
      </w:r>
    </w:p>
    <w:p w14:paraId="4136BB6F" w14:textId="4F94F822" w:rsidR="002C13DC" w:rsidRDefault="002C13DC" w:rsidP="000C0911">
      <w:pPr>
        <w:pStyle w:val="pf0"/>
        <w:jc w:val="both"/>
        <w:rPr>
          <w:rFonts w:ascii="Gill Sans MT" w:hAnsi="Gill Sans MT" w:cs="Arial"/>
        </w:rPr>
      </w:pPr>
      <w:r w:rsidRPr="002C13DC">
        <w:rPr>
          <w:rFonts w:ascii="Gill Sans MT" w:hAnsi="Gill Sans MT" w:cs="Arial"/>
        </w:rPr>
        <w:lastRenderedPageBreak/>
        <w:t>These guidelines apply to all research requiring ethical clearance, including student research, staff research, and externally funded projects, to avoid ambiguity</w:t>
      </w:r>
      <w:r>
        <w:rPr>
          <w:rFonts w:ascii="Gill Sans MT" w:hAnsi="Gill Sans MT" w:cs="Arial"/>
        </w:rPr>
        <w:t>.</w:t>
      </w:r>
      <w:r w:rsidR="000C0911" w:rsidRPr="000C0911">
        <w:t xml:space="preserve"> </w:t>
      </w:r>
      <w:r w:rsidR="000C0911">
        <w:rPr>
          <w:rFonts w:ascii="Gill Sans MT" w:hAnsi="Gill Sans MT" w:cs="Arial"/>
        </w:rPr>
        <w:t>F</w:t>
      </w:r>
      <w:r w:rsidR="000C0911" w:rsidRPr="000C0911">
        <w:rPr>
          <w:rFonts w:ascii="Gill Sans MT" w:hAnsi="Gill Sans MT" w:cs="Arial"/>
        </w:rPr>
        <w:t>ailure to comply with these guidelines may constitute a breach of research ethics approval, reinforcing accountability.</w:t>
      </w:r>
    </w:p>
    <w:p w14:paraId="74CE7C2F" w14:textId="77777777" w:rsidR="002C13DC" w:rsidRPr="002C13DC" w:rsidRDefault="002C13DC" w:rsidP="002C13DC">
      <w:pPr>
        <w:pStyle w:val="pf0"/>
        <w:rPr>
          <w:rFonts w:ascii="Gill Sans MT" w:hAnsi="Gill Sans MT" w:cs="Arial"/>
          <w:b/>
          <w:bCs/>
        </w:rPr>
      </w:pPr>
      <w:r w:rsidRPr="002C13DC">
        <w:rPr>
          <w:rFonts w:ascii="Gill Sans MT" w:hAnsi="Gill Sans MT" w:cs="Arial"/>
          <w:b/>
          <w:bCs/>
        </w:rPr>
        <w:t>2.</w:t>
      </w:r>
      <w:r w:rsidRPr="002C13DC">
        <w:rPr>
          <w:rFonts w:ascii="Gill Sans MT" w:hAnsi="Gill Sans MT" w:cs="Arial"/>
          <w:b/>
          <w:bCs/>
        </w:rPr>
        <w:tab/>
        <w:t>Management of Research Data and Records</w:t>
      </w:r>
    </w:p>
    <w:p w14:paraId="307F1DA6" w14:textId="77777777" w:rsidR="002C13DC" w:rsidRPr="002C13DC" w:rsidRDefault="002C13DC" w:rsidP="002C13DC">
      <w:pPr>
        <w:pStyle w:val="pf0"/>
        <w:jc w:val="both"/>
        <w:rPr>
          <w:rFonts w:ascii="Gill Sans MT" w:hAnsi="Gill Sans MT" w:cs="Arial"/>
        </w:rPr>
      </w:pPr>
      <w:r w:rsidRPr="002C13DC">
        <w:rPr>
          <w:rFonts w:ascii="Gill Sans MT" w:hAnsi="Gill Sans MT" w:cs="Arial"/>
        </w:rPr>
        <w:t>The Durban University of Technology is committed to responsible, transparent, and ethical research data management. While DUT supports openness in research and the sharing of information, such openness must always be balanced with participant protection, legal requirements, and institutional obligations.</w:t>
      </w:r>
    </w:p>
    <w:p w14:paraId="17A1257A" w14:textId="77777777" w:rsidR="002C13DC" w:rsidRPr="002C13DC" w:rsidRDefault="002C13DC" w:rsidP="002C13DC">
      <w:pPr>
        <w:pStyle w:val="pf0"/>
        <w:jc w:val="both"/>
        <w:rPr>
          <w:rFonts w:ascii="Gill Sans MT" w:hAnsi="Gill Sans MT" w:cs="Arial"/>
        </w:rPr>
      </w:pPr>
      <w:r w:rsidRPr="002C13DC">
        <w:rPr>
          <w:rFonts w:ascii="Gill Sans MT" w:hAnsi="Gill Sans MT" w:cs="Arial"/>
        </w:rPr>
        <w:t>Research data that forms the basis of published work should be available for verification, auditing, and scholarly evaluation by the broader research community, provided that such access complies with ethical approvals, consent agreements, and relevant legislation such as POPIA.</w:t>
      </w:r>
    </w:p>
    <w:p w14:paraId="1C276754" w14:textId="77777777" w:rsidR="002C13DC" w:rsidRPr="002C13DC" w:rsidRDefault="002C13DC" w:rsidP="002C13DC">
      <w:pPr>
        <w:pStyle w:val="pf0"/>
        <w:jc w:val="both"/>
        <w:rPr>
          <w:rFonts w:ascii="Gill Sans MT" w:hAnsi="Gill Sans MT" w:cs="Arial"/>
        </w:rPr>
      </w:pPr>
      <w:r w:rsidRPr="002C13DC">
        <w:rPr>
          <w:rFonts w:ascii="Gill Sans MT" w:hAnsi="Gill Sans MT" w:cs="Arial"/>
        </w:rPr>
        <w:t>Any agreements that require research data to remain confidential for a defined period such as those protecting intellectual property rights, community agreements, or contractual obligations must fully comply with DUT’s Research Data Management Policy, Research Ethics Policy, and national regulatory frameworks. These agreements must not compromise participant rights, data security, or ethical standards.</w:t>
      </w:r>
    </w:p>
    <w:p w14:paraId="2EB3C939" w14:textId="77777777" w:rsidR="002C13DC" w:rsidRPr="002C13DC" w:rsidRDefault="002C13DC" w:rsidP="002C13DC">
      <w:pPr>
        <w:pStyle w:val="pf0"/>
        <w:rPr>
          <w:rFonts w:ascii="Gill Sans MT" w:hAnsi="Gill Sans MT" w:cs="Arial"/>
        </w:rPr>
      </w:pPr>
      <w:r w:rsidRPr="002C13DC">
        <w:rPr>
          <w:rFonts w:ascii="Gill Sans MT" w:hAnsi="Gill Sans MT" w:cs="Arial"/>
        </w:rPr>
        <w:t>All research data and records must therefore be managed in a manner that:</w:t>
      </w:r>
    </w:p>
    <w:p w14:paraId="423B6307" w14:textId="5F2A981C" w:rsidR="002C13DC" w:rsidRPr="002C13DC" w:rsidRDefault="002C13DC" w:rsidP="002C13DC">
      <w:pPr>
        <w:pStyle w:val="pf0"/>
        <w:numPr>
          <w:ilvl w:val="0"/>
          <w:numId w:val="6"/>
        </w:numPr>
        <w:rPr>
          <w:rFonts w:ascii="Gill Sans MT" w:hAnsi="Gill Sans MT" w:cs="Arial"/>
        </w:rPr>
      </w:pPr>
      <w:r w:rsidRPr="002C13DC">
        <w:rPr>
          <w:rFonts w:ascii="Gill Sans MT" w:hAnsi="Gill Sans MT" w:cs="Arial"/>
        </w:rPr>
        <w:t>Protects participant confidentiality and personal information.</w:t>
      </w:r>
    </w:p>
    <w:p w14:paraId="7B52DCC7" w14:textId="5934E899" w:rsidR="002C13DC" w:rsidRPr="002C13DC" w:rsidRDefault="002C13DC" w:rsidP="002C13DC">
      <w:pPr>
        <w:pStyle w:val="pf0"/>
        <w:numPr>
          <w:ilvl w:val="0"/>
          <w:numId w:val="6"/>
        </w:numPr>
        <w:rPr>
          <w:rFonts w:ascii="Gill Sans MT" w:hAnsi="Gill Sans MT" w:cs="Arial"/>
        </w:rPr>
      </w:pPr>
      <w:r w:rsidRPr="002C13DC">
        <w:rPr>
          <w:rFonts w:ascii="Gill Sans MT" w:hAnsi="Gill Sans MT" w:cs="Arial"/>
        </w:rPr>
        <w:t>Ensures secure storage, retention, and controlled access;</w:t>
      </w:r>
    </w:p>
    <w:p w14:paraId="34ECCB4F" w14:textId="7986A7BF" w:rsidR="002C13DC" w:rsidRPr="002C13DC" w:rsidRDefault="002C13DC" w:rsidP="002C13DC">
      <w:pPr>
        <w:pStyle w:val="pf0"/>
        <w:numPr>
          <w:ilvl w:val="0"/>
          <w:numId w:val="6"/>
        </w:numPr>
        <w:rPr>
          <w:rFonts w:ascii="Gill Sans MT" w:hAnsi="Gill Sans MT" w:cs="Arial"/>
        </w:rPr>
      </w:pPr>
      <w:r w:rsidRPr="002C13DC">
        <w:rPr>
          <w:rFonts w:ascii="Gill Sans MT" w:hAnsi="Gill Sans MT" w:cs="Arial"/>
        </w:rPr>
        <w:t>Supports academic integrity and reproducibility; and</w:t>
      </w:r>
    </w:p>
    <w:p w14:paraId="292F6EB3" w14:textId="133F5BD9" w:rsidR="002C13DC" w:rsidRDefault="002C13DC" w:rsidP="002C13DC">
      <w:pPr>
        <w:pStyle w:val="pf0"/>
        <w:numPr>
          <w:ilvl w:val="0"/>
          <w:numId w:val="6"/>
        </w:numPr>
        <w:rPr>
          <w:rFonts w:ascii="Gill Sans MT" w:hAnsi="Gill Sans MT" w:cs="Arial"/>
        </w:rPr>
      </w:pPr>
      <w:r w:rsidRPr="002C13DC">
        <w:rPr>
          <w:rFonts w:ascii="Gill Sans MT" w:hAnsi="Gill Sans MT" w:cs="Arial"/>
        </w:rPr>
        <w:t>Meets all legal, ethical, and institutional requirements.</w:t>
      </w:r>
    </w:p>
    <w:p w14:paraId="05FFA7B2" w14:textId="61063D65" w:rsidR="000C0911" w:rsidRPr="000C0911" w:rsidRDefault="000C0911" w:rsidP="000C0911">
      <w:pPr>
        <w:pStyle w:val="pf0"/>
        <w:rPr>
          <w:rFonts w:ascii="Gill Sans MT" w:hAnsi="Gill Sans MT" w:cs="Arial"/>
          <w:b/>
          <w:bCs/>
        </w:rPr>
      </w:pPr>
      <w:r w:rsidRPr="000C0911">
        <w:rPr>
          <w:rFonts w:ascii="Gill Sans MT" w:hAnsi="Gill Sans MT" w:cs="Arial"/>
          <w:b/>
          <w:bCs/>
        </w:rPr>
        <w:t xml:space="preserve">3.  Research Data Storage and Maintenance </w:t>
      </w:r>
    </w:p>
    <w:p w14:paraId="3BD0F88F" w14:textId="1E00666A" w:rsidR="000C0911" w:rsidRPr="000C0911" w:rsidRDefault="000C0911" w:rsidP="000C0911">
      <w:pPr>
        <w:pStyle w:val="pf0"/>
        <w:jc w:val="both"/>
        <w:rPr>
          <w:rFonts w:ascii="Gill Sans MT" w:hAnsi="Gill Sans MT" w:cs="Arial"/>
        </w:rPr>
      </w:pPr>
      <w:r w:rsidRPr="000C0911">
        <w:rPr>
          <w:rFonts w:ascii="Gill Sans MT" w:hAnsi="Gill Sans MT" w:cs="Arial"/>
        </w:rPr>
        <w:t>a. Researchers are responsible for ensuring the secure storage of all research data and biological or non biological materials on which their research is based. This includes physical, electronic, and cloud-based data. The costs associated with secure data storage, backup systems, and data management infrastructure should be included in research budgets and funding proposals.</w:t>
      </w:r>
    </w:p>
    <w:p w14:paraId="5ADC55D2" w14:textId="77777777" w:rsidR="000C0911" w:rsidRPr="000C0911" w:rsidRDefault="000C0911" w:rsidP="000C0911">
      <w:pPr>
        <w:pStyle w:val="pf0"/>
        <w:jc w:val="both"/>
        <w:rPr>
          <w:rFonts w:ascii="Gill Sans MT" w:hAnsi="Gill Sans MT" w:cs="Arial"/>
        </w:rPr>
      </w:pPr>
      <w:r w:rsidRPr="000C0911">
        <w:rPr>
          <w:rFonts w:ascii="Gill Sans MT" w:hAnsi="Gill Sans MT" w:cs="Arial"/>
        </w:rPr>
        <w:t>b. Electronic data must be backed up regularly using secure and protected systems, such as institutionally approved servers or encrypted storage solutions. Ensuring adequate data protection, backup, and access control is the sole responsibility of the researcher, in line with POPIA and DUT’s Research Data Management Policy.</w:t>
      </w:r>
    </w:p>
    <w:p w14:paraId="51D54B41" w14:textId="77777777" w:rsidR="000C0911" w:rsidRPr="000C0911" w:rsidRDefault="000C0911" w:rsidP="000C0911">
      <w:pPr>
        <w:pStyle w:val="pf0"/>
        <w:jc w:val="both"/>
        <w:rPr>
          <w:rFonts w:ascii="Gill Sans MT" w:hAnsi="Gill Sans MT" w:cs="Arial"/>
        </w:rPr>
      </w:pPr>
      <w:r w:rsidRPr="000C0911">
        <w:rPr>
          <w:rFonts w:ascii="Gill Sans MT" w:hAnsi="Gill Sans MT" w:cs="Arial"/>
        </w:rPr>
        <w:t>c. Primary research data must be stored within the Department or Programme in which the project is based to ensure continuity, accountability, and secure record keeping. This includes both physical and electronic records. The Head of Department/Programme retains overall responsibility for ensuring the security, integrity, and appropriate maintenance of departmental research data archives.</w:t>
      </w:r>
    </w:p>
    <w:p w14:paraId="7EB4E104" w14:textId="6C03B1A3" w:rsidR="000C0911" w:rsidRPr="000C0911" w:rsidRDefault="000C0911" w:rsidP="000C0911">
      <w:pPr>
        <w:pStyle w:val="pf0"/>
        <w:jc w:val="both"/>
        <w:rPr>
          <w:rFonts w:ascii="Gill Sans MT" w:hAnsi="Gill Sans MT" w:cs="Arial"/>
        </w:rPr>
      </w:pPr>
      <w:r w:rsidRPr="000C0911">
        <w:rPr>
          <w:rFonts w:ascii="Gill Sans MT" w:hAnsi="Gill Sans MT" w:cs="Arial"/>
        </w:rPr>
        <w:lastRenderedPageBreak/>
        <w:t>d. Research data underpinning any publication must be retained for a minimum of five (5) years after publication, in accordance with DUT policy, national legislation, and accepted international best practice. For sensitive or high-risk research, extended retention periods may apply as per institutional or regulatory requirements.</w:t>
      </w:r>
    </w:p>
    <w:p w14:paraId="7C293F93" w14:textId="77777777" w:rsidR="000C0911" w:rsidRPr="000C0911" w:rsidRDefault="000C0911" w:rsidP="000C0911">
      <w:pPr>
        <w:pStyle w:val="pf0"/>
        <w:jc w:val="both"/>
        <w:rPr>
          <w:rFonts w:ascii="Gill Sans MT" w:hAnsi="Gill Sans MT" w:cs="Arial"/>
        </w:rPr>
      </w:pPr>
      <w:r w:rsidRPr="000C0911">
        <w:rPr>
          <w:rFonts w:ascii="Gill Sans MT" w:hAnsi="Gill Sans MT" w:cs="Arial"/>
        </w:rPr>
        <w:t>e. Departure of a researcher and management of research data</w:t>
      </w:r>
    </w:p>
    <w:p w14:paraId="5578E49C" w14:textId="77777777" w:rsidR="000C0911" w:rsidRPr="000C0911" w:rsidRDefault="000C0911" w:rsidP="000C0911">
      <w:pPr>
        <w:pStyle w:val="pf0"/>
        <w:jc w:val="both"/>
        <w:rPr>
          <w:rFonts w:ascii="Gill Sans MT" w:hAnsi="Gill Sans MT" w:cs="Arial"/>
        </w:rPr>
      </w:pPr>
      <w:r w:rsidRPr="000C0911">
        <w:rPr>
          <w:rFonts w:ascii="Gill Sans MT" w:hAnsi="Gill Sans MT" w:cs="Arial"/>
        </w:rPr>
        <w:t>If a researcher leaves the University, both DUT and the researcher share responsibility for ensuring that appropriate, secure, and ethically compliant arrangements are made for the continued maintenance and management of the research data. All data transfer or retention decisions must comply with POPIA, DUT’s Research Data Management Policy, ethical approval conditions, and any contractual agreements with funders or collaborators.</w:t>
      </w:r>
    </w:p>
    <w:p w14:paraId="19E71867" w14:textId="77777777" w:rsidR="000C0911" w:rsidRPr="000C0911" w:rsidRDefault="000C0911" w:rsidP="000C0911">
      <w:pPr>
        <w:pStyle w:val="pf0"/>
        <w:jc w:val="both"/>
        <w:rPr>
          <w:rFonts w:ascii="Gill Sans MT" w:hAnsi="Gill Sans MT" w:cs="Arial"/>
        </w:rPr>
      </w:pPr>
      <w:r w:rsidRPr="000C0911">
        <w:rPr>
          <w:rFonts w:ascii="Gill Sans MT" w:hAnsi="Gill Sans MT" w:cs="Arial"/>
        </w:rPr>
        <w:t>In the absence of a formal contractual agreement specifying the disposition of the data, the following arrangements may apply:</w:t>
      </w:r>
    </w:p>
    <w:p w14:paraId="519FF831" w14:textId="14AB5794" w:rsidR="000C0911" w:rsidRPr="000C0911" w:rsidRDefault="000C0911" w:rsidP="000C0911">
      <w:pPr>
        <w:pStyle w:val="pf0"/>
        <w:rPr>
          <w:rFonts w:ascii="Gill Sans MT" w:hAnsi="Gill Sans MT" w:cs="Arial"/>
        </w:rPr>
      </w:pPr>
      <w:r>
        <w:rPr>
          <w:rFonts w:ascii="Gill Sans MT" w:hAnsi="Gill Sans MT" w:cs="Arial"/>
        </w:rPr>
        <w:t xml:space="preserve">3.1 </w:t>
      </w:r>
      <w:r w:rsidRPr="000C0911">
        <w:rPr>
          <w:rFonts w:ascii="Gill Sans MT" w:hAnsi="Gill Sans MT" w:cs="Arial"/>
        </w:rPr>
        <w:t>Data retention at DUT</w:t>
      </w:r>
    </w:p>
    <w:p w14:paraId="0101424D" w14:textId="77777777" w:rsidR="000C0911" w:rsidRPr="000C0911" w:rsidRDefault="000C0911" w:rsidP="000C0911">
      <w:pPr>
        <w:pStyle w:val="pf0"/>
        <w:rPr>
          <w:rFonts w:ascii="Gill Sans MT" w:hAnsi="Gill Sans MT" w:cs="Arial"/>
        </w:rPr>
      </w:pPr>
      <w:r w:rsidRPr="000C0911">
        <w:rPr>
          <w:rFonts w:ascii="Gill Sans MT" w:hAnsi="Gill Sans MT" w:cs="Arial"/>
        </w:rPr>
        <w:t>The primary data set may be retained by the University within the relevant Department or Programme. The departing researcher may be granted controlled access to the original data set and may retain copies, provided that such access upholds participant confidentiality, ethical approvals, and legislative requirements.</w:t>
      </w:r>
    </w:p>
    <w:p w14:paraId="285936ED" w14:textId="236C815B" w:rsidR="000C0911" w:rsidRPr="000C0911" w:rsidRDefault="000C0911" w:rsidP="000C0911">
      <w:pPr>
        <w:pStyle w:val="pf0"/>
        <w:rPr>
          <w:rFonts w:ascii="Gill Sans MT" w:hAnsi="Gill Sans MT" w:cs="Arial"/>
        </w:rPr>
      </w:pPr>
      <w:r>
        <w:rPr>
          <w:rFonts w:ascii="Gill Sans MT" w:hAnsi="Gill Sans MT" w:cs="Arial"/>
        </w:rPr>
        <w:t xml:space="preserve">3.2 </w:t>
      </w:r>
      <w:r w:rsidRPr="000C0911">
        <w:rPr>
          <w:rFonts w:ascii="Gill Sans MT" w:hAnsi="Gill Sans MT" w:cs="Arial"/>
        </w:rPr>
        <w:t>Transfer of data to the new institution</w:t>
      </w:r>
    </w:p>
    <w:p w14:paraId="019CE95C" w14:textId="77777777" w:rsidR="000C0911" w:rsidRPr="000C0911" w:rsidRDefault="000C0911" w:rsidP="000C0911">
      <w:pPr>
        <w:pStyle w:val="pf0"/>
        <w:rPr>
          <w:rFonts w:ascii="Gill Sans MT" w:hAnsi="Gill Sans MT" w:cs="Arial"/>
        </w:rPr>
      </w:pPr>
      <w:r w:rsidRPr="000C0911">
        <w:rPr>
          <w:rFonts w:ascii="Gill Sans MT" w:hAnsi="Gill Sans MT" w:cs="Arial"/>
        </w:rPr>
        <w:t>The data set may be transferred to the research institution to which the researcher is relocating, provided that the receiving institution has adequate and compliant facilities for secure data storage, management, and retention. Such a transfer must respect intellectual property rights, data sharing agreements, funder requirements, and ethical approvals.</w:t>
      </w:r>
    </w:p>
    <w:p w14:paraId="7BB1236E" w14:textId="54F3AE24" w:rsidR="000C0911" w:rsidRPr="000C0911" w:rsidRDefault="000C0911" w:rsidP="000C0911">
      <w:pPr>
        <w:pStyle w:val="pf0"/>
        <w:rPr>
          <w:rFonts w:ascii="Gill Sans MT" w:hAnsi="Gill Sans MT" w:cs="Arial"/>
        </w:rPr>
      </w:pPr>
      <w:r w:rsidRPr="000C0911">
        <w:rPr>
          <w:rFonts w:ascii="Gill Sans MT" w:hAnsi="Gill Sans MT" w:cs="Arial"/>
        </w:rPr>
        <w:t>3.</w:t>
      </w:r>
      <w:r>
        <w:rPr>
          <w:rFonts w:ascii="Gill Sans MT" w:hAnsi="Gill Sans MT" w:cs="Arial"/>
        </w:rPr>
        <w:t xml:space="preserve">3 </w:t>
      </w:r>
      <w:r w:rsidRPr="000C0911">
        <w:rPr>
          <w:rFonts w:ascii="Gill Sans MT" w:hAnsi="Gill Sans MT" w:cs="Arial"/>
        </w:rPr>
        <w:t>Destruction of data</w:t>
      </w:r>
    </w:p>
    <w:p w14:paraId="00239510" w14:textId="2C969235" w:rsidR="000C0911" w:rsidRPr="00EA5E14" w:rsidRDefault="000C0911" w:rsidP="000C0911">
      <w:pPr>
        <w:pStyle w:val="pf0"/>
        <w:rPr>
          <w:rFonts w:ascii="Gill Sans MT" w:hAnsi="Gill Sans MT" w:cs="Arial"/>
        </w:rPr>
      </w:pPr>
      <w:r w:rsidRPr="000C0911">
        <w:rPr>
          <w:rFonts w:ascii="Gill Sans MT" w:hAnsi="Gill Sans MT" w:cs="Arial"/>
        </w:rPr>
        <w:t>If no publications, reports, or further scholarly outputs have been produced from the data set within five years, and there is no legal, ethical, or contractual requirement for continued retention, the data may be securely destroyed. Destruction must follow DUT’s authorised disposal procedures and must ensure that the data cannot be recovered or reconstructed.</w:t>
      </w:r>
    </w:p>
    <w:p w14:paraId="003B5E07" w14:textId="151FE268" w:rsidR="000C0911" w:rsidRPr="000C0911" w:rsidRDefault="000C0911" w:rsidP="000C0911">
      <w:pPr>
        <w:pStyle w:val="NormalWeb"/>
        <w:spacing w:line="300" w:lineRule="atLeast"/>
        <w:jc w:val="both"/>
        <w:rPr>
          <w:rFonts w:ascii="Gill Sans MT" w:hAnsi="Gill Sans MT" w:cs="Segoe UI"/>
          <w:b/>
          <w:bCs/>
        </w:rPr>
      </w:pPr>
      <w:r>
        <w:rPr>
          <w:rFonts w:ascii="Gill Sans MT" w:hAnsi="Gill Sans MT" w:cs="Segoe UI"/>
          <w:b/>
          <w:bCs/>
        </w:rPr>
        <w:t xml:space="preserve">4. </w:t>
      </w:r>
      <w:r w:rsidRPr="000C0911">
        <w:rPr>
          <w:rFonts w:ascii="Gill Sans MT" w:hAnsi="Gill Sans MT" w:cs="Segoe UI"/>
          <w:b/>
          <w:bCs/>
        </w:rPr>
        <w:t>Confidentiality of Data</w:t>
      </w:r>
    </w:p>
    <w:p w14:paraId="0092DA7C" w14:textId="5F118ACC" w:rsidR="000C0911" w:rsidRPr="00183335" w:rsidRDefault="000C0911" w:rsidP="000C0911">
      <w:pPr>
        <w:pStyle w:val="NormalWeb"/>
        <w:spacing w:line="300" w:lineRule="atLeast"/>
        <w:jc w:val="both"/>
        <w:rPr>
          <w:rFonts w:ascii="Gill Sans MT" w:hAnsi="Gill Sans MT" w:cs="Segoe UI"/>
        </w:rPr>
      </w:pPr>
      <w:r w:rsidRPr="00183335">
        <w:rPr>
          <w:rFonts w:ascii="Gill Sans MT" w:hAnsi="Gill Sans MT" w:cs="Segoe UI"/>
        </w:rPr>
        <w:t>a. Pre</w:t>
      </w:r>
      <w:r w:rsidR="00183335" w:rsidRPr="00183335">
        <w:rPr>
          <w:rFonts w:ascii="Gill Sans MT" w:hAnsi="Gill Sans MT" w:cs="Segoe UI"/>
        </w:rPr>
        <w:t>-</w:t>
      </w:r>
      <w:r w:rsidRPr="00183335">
        <w:rPr>
          <w:rFonts w:ascii="Gill Sans MT" w:hAnsi="Gill Sans MT" w:cs="Segoe UI"/>
        </w:rPr>
        <w:t>publication confidentiality:</w:t>
      </w:r>
    </w:p>
    <w:p w14:paraId="1CD47369" w14:textId="77777777" w:rsidR="000C0911" w:rsidRPr="00183335" w:rsidRDefault="000C0911" w:rsidP="000C0911">
      <w:pPr>
        <w:pStyle w:val="NormalWeb"/>
        <w:spacing w:line="300" w:lineRule="atLeast"/>
        <w:jc w:val="both"/>
        <w:rPr>
          <w:rFonts w:ascii="Gill Sans MT" w:hAnsi="Gill Sans MT" w:cs="Segoe UI"/>
        </w:rPr>
      </w:pPr>
      <w:r w:rsidRPr="00183335">
        <w:rPr>
          <w:rFonts w:ascii="Gill Sans MT" w:hAnsi="Gill Sans MT" w:cs="Segoe UI"/>
        </w:rPr>
        <w:t>Researchers are entitled to keep their data sets confidential prior to publication to protect the integrity of the research process, intellectual property, and the rights of participants.</w:t>
      </w:r>
    </w:p>
    <w:p w14:paraId="1D5C3303" w14:textId="77777777" w:rsidR="000C0911" w:rsidRPr="00183335" w:rsidRDefault="000C0911" w:rsidP="000C0911">
      <w:pPr>
        <w:pStyle w:val="NormalWeb"/>
        <w:spacing w:line="300" w:lineRule="atLeast"/>
        <w:jc w:val="both"/>
        <w:rPr>
          <w:rFonts w:ascii="Gill Sans MT" w:hAnsi="Gill Sans MT" w:cs="Segoe UI"/>
        </w:rPr>
      </w:pPr>
      <w:r w:rsidRPr="00183335">
        <w:rPr>
          <w:rFonts w:ascii="Gill Sans MT" w:hAnsi="Gill Sans MT" w:cs="Segoe UI"/>
        </w:rPr>
        <w:t>b. Post publication data access (with conditions):</w:t>
      </w:r>
    </w:p>
    <w:p w14:paraId="751DCB29" w14:textId="77777777" w:rsidR="000C0911" w:rsidRPr="00183335" w:rsidRDefault="000C0911" w:rsidP="000C0911">
      <w:pPr>
        <w:pStyle w:val="NormalWeb"/>
        <w:spacing w:line="300" w:lineRule="atLeast"/>
        <w:jc w:val="both"/>
        <w:rPr>
          <w:rFonts w:ascii="Gill Sans MT" w:hAnsi="Gill Sans MT" w:cs="Segoe UI"/>
        </w:rPr>
      </w:pPr>
      <w:r w:rsidRPr="00183335">
        <w:rPr>
          <w:rFonts w:ascii="Gill Sans MT" w:hAnsi="Gill Sans MT" w:cs="Segoe UI"/>
        </w:rPr>
        <w:t>After research findings have entered the public domain through publication, the underlying data should, where appropriate and ethically permissible, be made available to other researchers upon request through the Principal Investigator.</w:t>
      </w:r>
    </w:p>
    <w:p w14:paraId="1307D244" w14:textId="77777777" w:rsidR="000C0911" w:rsidRPr="00183335" w:rsidRDefault="000C0911" w:rsidP="000C0911">
      <w:pPr>
        <w:pStyle w:val="NormalWeb"/>
        <w:spacing w:line="300" w:lineRule="atLeast"/>
        <w:jc w:val="both"/>
        <w:rPr>
          <w:rFonts w:ascii="Gill Sans MT" w:hAnsi="Gill Sans MT" w:cs="Segoe UI"/>
        </w:rPr>
      </w:pPr>
      <w:r w:rsidRPr="00183335">
        <w:rPr>
          <w:rFonts w:ascii="Gill Sans MT" w:hAnsi="Gill Sans MT" w:cs="Segoe UI"/>
        </w:rPr>
        <w:lastRenderedPageBreak/>
        <w:t>While technical, ethical, or financial limitations may affect the extent to which full datasets can be shared, the underlying principle remains that research findings should be verifiable, provided that such sharing complies with POPIA, ethical approvals, data sharing agreements, and participant consent.</w:t>
      </w:r>
    </w:p>
    <w:p w14:paraId="2E1A439C" w14:textId="77777777" w:rsidR="000C0911" w:rsidRPr="00183335" w:rsidRDefault="000C0911" w:rsidP="000C0911">
      <w:pPr>
        <w:pStyle w:val="NormalWeb"/>
        <w:spacing w:line="300" w:lineRule="atLeast"/>
        <w:jc w:val="both"/>
        <w:rPr>
          <w:rFonts w:ascii="Gill Sans MT" w:hAnsi="Gill Sans MT" w:cs="Segoe UI"/>
        </w:rPr>
      </w:pPr>
      <w:r w:rsidRPr="00183335">
        <w:rPr>
          <w:rFonts w:ascii="Gill Sans MT" w:hAnsi="Gill Sans MT" w:cs="Segoe UI"/>
        </w:rPr>
        <w:t>c. Protection of participant information:</w:t>
      </w:r>
    </w:p>
    <w:p w14:paraId="40A08765" w14:textId="77777777" w:rsidR="000C0911" w:rsidRPr="00183335" w:rsidRDefault="000C0911" w:rsidP="000C0911">
      <w:pPr>
        <w:pStyle w:val="NormalWeb"/>
        <w:spacing w:line="300" w:lineRule="atLeast"/>
        <w:jc w:val="both"/>
        <w:rPr>
          <w:rFonts w:ascii="Gill Sans MT" w:hAnsi="Gill Sans MT" w:cs="Segoe UI"/>
        </w:rPr>
      </w:pPr>
      <w:r w:rsidRPr="00183335">
        <w:rPr>
          <w:rFonts w:ascii="Gill Sans MT" w:hAnsi="Gill Sans MT" w:cs="Segoe UI"/>
        </w:rPr>
        <w:t>Maintaining the confidentiality of all data collected during a research project is essential. Researchers must ensure that:</w:t>
      </w:r>
    </w:p>
    <w:p w14:paraId="697711B8" w14:textId="7A74C9F4" w:rsidR="000C0911" w:rsidRPr="00183335" w:rsidRDefault="000C0911" w:rsidP="00183335">
      <w:pPr>
        <w:pStyle w:val="NormalWeb"/>
        <w:numPr>
          <w:ilvl w:val="0"/>
          <w:numId w:val="7"/>
        </w:numPr>
        <w:spacing w:line="300" w:lineRule="atLeast"/>
        <w:jc w:val="both"/>
        <w:rPr>
          <w:rFonts w:ascii="Gill Sans MT" w:hAnsi="Gill Sans MT" w:cs="Segoe UI"/>
        </w:rPr>
      </w:pPr>
      <w:r w:rsidRPr="00183335">
        <w:rPr>
          <w:rFonts w:ascii="Gill Sans MT" w:hAnsi="Gill Sans MT" w:cs="Segoe UI"/>
        </w:rPr>
        <w:t>Personal and identifiable information is anonymised or coded as early as possible in the research process.</w:t>
      </w:r>
    </w:p>
    <w:p w14:paraId="17EFAC7E" w14:textId="2BD37ABC" w:rsidR="000C0911" w:rsidRPr="00183335" w:rsidRDefault="000C0911" w:rsidP="00183335">
      <w:pPr>
        <w:pStyle w:val="NormalWeb"/>
        <w:numPr>
          <w:ilvl w:val="0"/>
          <w:numId w:val="7"/>
        </w:numPr>
        <w:spacing w:line="300" w:lineRule="atLeast"/>
        <w:jc w:val="both"/>
        <w:rPr>
          <w:rFonts w:ascii="Gill Sans MT" w:hAnsi="Gill Sans MT" w:cs="Segoe UI"/>
        </w:rPr>
      </w:pPr>
      <w:r w:rsidRPr="00183335">
        <w:rPr>
          <w:rFonts w:ascii="Gill Sans MT" w:hAnsi="Gill Sans MT" w:cs="Segoe UI"/>
        </w:rPr>
        <w:t>Participants are assigned unique identification numbers or codes, which are used in place of names and other identifiers.</w:t>
      </w:r>
    </w:p>
    <w:p w14:paraId="60B91FC9" w14:textId="1B59BDAC" w:rsidR="000C0911" w:rsidRPr="00183335" w:rsidRDefault="000C0911" w:rsidP="00183335">
      <w:pPr>
        <w:pStyle w:val="NormalWeb"/>
        <w:numPr>
          <w:ilvl w:val="0"/>
          <w:numId w:val="7"/>
        </w:numPr>
        <w:spacing w:line="300" w:lineRule="atLeast"/>
        <w:jc w:val="both"/>
        <w:rPr>
          <w:rFonts w:ascii="Gill Sans MT" w:hAnsi="Gill Sans MT" w:cs="Segoe UI"/>
        </w:rPr>
      </w:pPr>
      <w:r w:rsidRPr="00183335">
        <w:rPr>
          <w:rFonts w:ascii="Gill Sans MT" w:hAnsi="Gill Sans MT" w:cs="Segoe UI"/>
        </w:rPr>
        <w:t>Any list linking participant identities with their assigned codes is stored separately, securely, and with restricted access.</w:t>
      </w:r>
    </w:p>
    <w:p w14:paraId="39053CD5" w14:textId="6C8FF87C" w:rsidR="000C0911" w:rsidRPr="00183335" w:rsidRDefault="000C0911" w:rsidP="00183335">
      <w:pPr>
        <w:pStyle w:val="NormalWeb"/>
        <w:numPr>
          <w:ilvl w:val="0"/>
          <w:numId w:val="7"/>
        </w:numPr>
        <w:spacing w:line="300" w:lineRule="atLeast"/>
        <w:jc w:val="both"/>
        <w:rPr>
          <w:rFonts w:ascii="Gill Sans MT" w:hAnsi="Gill Sans MT" w:cs="Segoe UI"/>
        </w:rPr>
      </w:pPr>
      <w:r w:rsidRPr="00183335">
        <w:rPr>
          <w:rFonts w:ascii="Gill Sans MT" w:hAnsi="Gill Sans MT" w:cs="Segoe UI"/>
        </w:rPr>
        <w:t>Data storage and handling processes comply with POPIA, ethical clearance conditions, and DUT’s Research Data Management Policy.</w:t>
      </w:r>
    </w:p>
    <w:p w14:paraId="18FB96EA" w14:textId="77777777" w:rsidR="000C0911" w:rsidRPr="00183335" w:rsidRDefault="000C0911" w:rsidP="00183335">
      <w:pPr>
        <w:pStyle w:val="NormalWeb"/>
        <w:numPr>
          <w:ilvl w:val="0"/>
          <w:numId w:val="7"/>
        </w:numPr>
        <w:spacing w:line="300" w:lineRule="atLeast"/>
        <w:jc w:val="both"/>
        <w:rPr>
          <w:rFonts w:ascii="Gill Sans MT" w:hAnsi="Gill Sans MT" w:cs="Segoe UI"/>
        </w:rPr>
      </w:pPr>
      <w:r w:rsidRPr="00183335">
        <w:rPr>
          <w:rFonts w:ascii="Gill Sans MT" w:hAnsi="Gill Sans MT" w:cs="Segoe UI"/>
        </w:rPr>
        <w:t>These measures ensure that data cannot be traced back to individual participants without authorised access and legitimate purpose.</w:t>
      </w:r>
    </w:p>
    <w:p w14:paraId="06D95931" w14:textId="77777777" w:rsidR="000C0911" w:rsidRPr="00183335" w:rsidRDefault="000C0911" w:rsidP="000C0911">
      <w:pPr>
        <w:pStyle w:val="NormalWeb"/>
        <w:spacing w:line="300" w:lineRule="atLeast"/>
        <w:jc w:val="both"/>
        <w:rPr>
          <w:rFonts w:ascii="Gill Sans MT" w:hAnsi="Gill Sans MT" w:cs="Segoe UI"/>
        </w:rPr>
      </w:pPr>
      <w:r w:rsidRPr="00183335">
        <w:rPr>
          <w:rFonts w:ascii="Gill Sans MT" w:hAnsi="Gill Sans MT" w:cs="Segoe UI"/>
        </w:rPr>
        <w:t>d. Balancing data availability with confidentiality rights:</w:t>
      </w:r>
    </w:p>
    <w:p w14:paraId="5B3F5988" w14:textId="77777777" w:rsidR="000C0911" w:rsidRPr="00183335" w:rsidRDefault="000C0911" w:rsidP="000C0911">
      <w:pPr>
        <w:pStyle w:val="NormalWeb"/>
        <w:spacing w:line="300" w:lineRule="atLeast"/>
        <w:jc w:val="both"/>
        <w:rPr>
          <w:rFonts w:ascii="Gill Sans MT" w:hAnsi="Gill Sans MT" w:cs="Segoe UI"/>
        </w:rPr>
      </w:pPr>
      <w:r w:rsidRPr="00183335">
        <w:rPr>
          <w:rFonts w:ascii="Gill Sans MT" w:hAnsi="Gill Sans MT" w:cs="Segoe UI"/>
        </w:rPr>
        <w:t>The commitment to research transparency and data availability does not override the right to privacy and confidentiality of individuals, communities, or organisations participating in research.</w:t>
      </w:r>
    </w:p>
    <w:p w14:paraId="285AA11B" w14:textId="77777777" w:rsidR="000C0911" w:rsidRPr="00183335" w:rsidRDefault="000C0911" w:rsidP="000C0911">
      <w:pPr>
        <w:pStyle w:val="NormalWeb"/>
        <w:spacing w:line="300" w:lineRule="atLeast"/>
        <w:jc w:val="both"/>
        <w:rPr>
          <w:rFonts w:ascii="Gill Sans MT" w:hAnsi="Gill Sans MT" w:cs="Segoe UI"/>
        </w:rPr>
      </w:pPr>
      <w:r w:rsidRPr="00183335">
        <w:rPr>
          <w:rFonts w:ascii="Gill Sans MT" w:hAnsi="Gill Sans MT" w:cs="Segoe UI"/>
        </w:rPr>
        <w:t>Confidentiality protections take precedence, and data sharing must always align with:</w:t>
      </w:r>
    </w:p>
    <w:p w14:paraId="37E35576" w14:textId="364B8B31" w:rsidR="000C0911" w:rsidRPr="00183335" w:rsidRDefault="000C0911" w:rsidP="00183335">
      <w:pPr>
        <w:pStyle w:val="NormalWeb"/>
        <w:numPr>
          <w:ilvl w:val="0"/>
          <w:numId w:val="8"/>
        </w:numPr>
        <w:spacing w:line="300" w:lineRule="atLeast"/>
        <w:jc w:val="both"/>
        <w:rPr>
          <w:rFonts w:ascii="Gill Sans MT" w:hAnsi="Gill Sans MT" w:cs="Segoe UI"/>
        </w:rPr>
      </w:pPr>
      <w:r w:rsidRPr="00183335">
        <w:rPr>
          <w:rFonts w:ascii="Gill Sans MT" w:hAnsi="Gill Sans MT" w:cs="Segoe UI"/>
        </w:rPr>
        <w:t>Participant consent</w:t>
      </w:r>
    </w:p>
    <w:p w14:paraId="275262BD" w14:textId="089CE433" w:rsidR="000C0911" w:rsidRPr="00183335" w:rsidRDefault="000C0911" w:rsidP="00183335">
      <w:pPr>
        <w:pStyle w:val="NormalWeb"/>
        <w:numPr>
          <w:ilvl w:val="0"/>
          <w:numId w:val="8"/>
        </w:numPr>
        <w:spacing w:line="300" w:lineRule="atLeast"/>
        <w:jc w:val="both"/>
        <w:rPr>
          <w:rFonts w:ascii="Gill Sans MT" w:hAnsi="Gill Sans MT" w:cs="Segoe UI"/>
        </w:rPr>
      </w:pPr>
      <w:r w:rsidRPr="00183335">
        <w:rPr>
          <w:rFonts w:ascii="Gill Sans MT" w:hAnsi="Gill Sans MT" w:cs="Segoe UI"/>
        </w:rPr>
        <w:t>Ethical approval conditions</w:t>
      </w:r>
    </w:p>
    <w:p w14:paraId="1EA2C275" w14:textId="29EA1533" w:rsidR="000C0911" w:rsidRPr="00183335" w:rsidRDefault="000C0911" w:rsidP="00183335">
      <w:pPr>
        <w:pStyle w:val="NormalWeb"/>
        <w:numPr>
          <w:ilvl w:val="0"/>
          <w:numId w:val="8"/>
        </w:numPr>
        <w:spacing w:line="300" w:lineRule="atLeast"/>
        <w:jc w:val="both"/>
        <w:rPr>
          <w:rFonts w:ascii="Gill Sans MT" w:hAnsi="Gill Sans MT" w:cs="Segoe UI"/>
        </w:rPr>
      </w:pPr>
      <w:r w:rsidRPr="00183335">
        <w:rPr>
          <w:rFonts w:ascii="Gill Sans MT" w:hAnsi="Gill Sans MT" w:cs="Segoe UI"/>
        </w:rPr>
        <w:t>Legal requirements (including POPIA)</w:t>
      </w:r>
    </w:p>
    <w:p w14:paraId="650AB527" w14:textId="614A0DCB" w:rsidR="000C0911" w:rsidRPr="00183335" w:rsidRDefault="000C0911" w:rsidP="00183335">
      <w:pPr>
        <w:pStyle w:val="NormalWeb"/>
        <w:numPr>
          <w:ilvl w:val="0"/>
          <w:numId w:val="8"/>
        </w:numPr>
        <w:spacing w:line="300" w:lineRule="atLeast"/>
        <w:jc w:val="both"/>
        <w:rPr>
          <w:rFonts w:ascii="Gill Sans MT" w:hAnsi="Gill Sans MT" w:cs="Segoe UI"/>
        </w:rPr>
      </w:pPr>
      <w:r w:rsidRPr="00183335">
        <w:rPr>
          <w:rFonts w:ascii="Gill Sans MT" w:hAnsi="Gill Sans MT" w:cs="Segoe UI"/>
        </w:rPr>
        <w:t>Institutional policies on secure data access and sharing</w:t>
      </w:r>
    </w:p>
    <w:p w14:paraId="3BE723B5" w14:textId="77777777" w:rsidR="00183335" w:rsidRPr="00183335" w:rsidRDefault="00183335" w:rsidP="00183335">
      <w:pPr>
        <w:pStyle w:val="NormalWeb"/>
        <w:spacing w:line="300" w:lineRule="atLeast"/>
        <w:jc w:val="both"/>
        <w:rPr>
          <w:rFonts w:ascii="Gill Sans MT" w:hAnsi="Gill Sans MT" w:cs="Segoe UI"/>
          <w:b/>
          <w:bCs/>
        </w:rPr>
      </w:pPr>
      <w:r w:rsidRPr="00183335">
        <w:rPr>
          <w:rFonts w:ascii="Gill Sans MT" w:hAnsi="Gill Sans MT" w:cs="Segoe UI"/>
          <w:b/>
          <w:bCs/>
        </w:rPr>
        <w:t xml:space="preserve">5. Guidelines for Storage of Different Types of Data Sets </w:t>
      </w:r>
    </w:p>
    <w:p w14:paraId="2D51BADC"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a. Numerical and Statistical Data</w:t>
      </w:r>
    </w:p>
    <w:p w14:paraId="337A572D" w14:textId="77777777" w:rsidR="00183335" w:rsidRPr="00183335" w:rsidRDefault="00183335" w:rsidP="00183335">
      <w:pPr>
        <w:pStyle w:val="NormalWeb"/>
        <w:numPr>
          <w:ilvl w:val="0"/>
          <w:numId w:val="9"/>
        </w:numPr>
        <w:spacing w:line="300" w:lineRule="atLeast"/>
        <w:jc w:val="both"/>
        <w:rPr>
          <w:rFonts w:ascii="Gill Sans MT" w:hAnsi="Gill Sans MT" w:cs="Segoe UI"/>
        </w:rPr>
      </w:pPr>
      <w:r w:rsidRPr="00183335">
        <w:rPr>
          <w:rFonts w:ascii="Gill Sans MT" w:hAnsi="Gill Sans MT" w:cs="Segoe UI"/>
        </w:rPr>
        <w:t>Numerical and statistical datasets must be stored in their raw/original format for a minimum of five (5) years from the completion of the project.</w:t>
      </w:r>
    </w:p>
    <w:p w14:paraId="776F173C" w14:textId="77777777" w:rsidR="00183335" w:rsidRPr="00183335" w:rsidRDefault="00183335" w:rsidP="00183335">
      <w:pPr>
        <w:pStyle w:val="NormalWeb"/>
        <w:numPr>
          <w:ilvl w:val="0"/>
          <w:numId w:val="9"/>
        </w:numPr>
        <w:spacing w:line="300" w:lineRule="atLeast"/>
        <w:jc w:val="both"/>
        <w:rPr>
          <w:rFonts w:ascii="Gill Sans MT" w:hAnsi="Gill Sans MT" w:cs="Segoe UI"/>
        </w:rPr>
      </w:pPr>
      <w:r w:rsidRPr="00183335">
        <w:rPr>
          <w:rFonts w:ascii="Gill Sans MT" w:hAnsi="Gill Sans MT" w:cs="Segoe UI"/>
        </w:rPr>
        <w:t>After this period, the data may be securely destroyed unless it forms part of an ongoing or planned longitudinal study, in which case it should be retained for the duration of the study.</w:t>
      </w:r>
    </w:p>
    <w:p w14:paraId="7BDB5A58"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b. Interview Notes, Questionnaire Responses, and Transcribed Interviews</w:t>
      </w:r>
    </w:p>
    <w:p w14:paraId="2925E46C"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lastRenderedPageBreak/>
        <w:t>Interview notes, questionnaire responses, audio-to-text transcripts, and other qualitative materials should be retained in their original form, where possible, for five (5) years after project completion.</w:t>
      </w:r>
    </w:p>
    <w:p w14:paraId="2DB8BFDA"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After this period, data may be securely destroyed unless required for:</w:t>
      </w:r>
    </w:p>
    <w:p w14:paraId="23A4E603" w14:textId="3E6EF65C" w:rsidR="00183335" w:rsidRPr="00183335" w:rsidRDefault="00183335" w:rsidP="00183335">
      <w:pPr>
        <w:pStyle w:val="NormalWeb"/>
        <w:numPr>
          <w:ilvl w:val="0"/>
          <w:numId w:val="10"/>
        </w:numPr>
        <w:spacing w:line="300" w:lineRule="atLeast"/>
        <w:jc w:val="both"/>
        <w:rPr>
          <w:rFonts w:ascii="Gill Sans MT" w:hAnsi="Gill Sans MT" w:cs="Segoe UI"/>
        </w:rPr>
      </w:pPr>
      <w:r w:rsidRPr="00183335">
        <w:rPr>
          <w:rFonts w:ascii="Gill Sans MT" w:hAnsi="Gill Sans MT" w:cs="Segoe UI"/>
        </w:rPr>
        <w:t>Longitudinal studies</w:t>
      </w:r>
    </w:p>
    <w:p w14:paraId="0818D670" w14:textId="60911195" w:rsidR="00183335" w:rsidRPr="00183335" w:rsidRDefault="00183335" w:rsidP="00183335">
      <w:pPr>
        <w:pStyle w:val="NormalWeb"/>
        <w:numPr>
          <w:ilvl w:val="0"/>
          <w:numId w:val="10"/>
        </w:numPr>
        <w:spacing w:line="300" w:lineRule="atLeast"/>
        <w:jc w:val="both"/>
        <w:rPr>
          <w:rFonts w:ascii="Gill Sans MT" w:hAnsi="Gill Sans MT" w:cs="Segoe UI"/>
        </w:rPr>
      </w:pPr>
      <w:r w:rsidRPr="00183335">
        <w:rPr>
          <w:rFonts w:ascii="Gill Sans MT" w:hAnsi="Gill Sans MT" w:cs="Segoe UI"/>
        </w:rPr>
        <w:t>Follow-up publications</w:t>
      </w:r>
    </w:p>
    <w:p w14:paraId="3BE735E5" w14:textId="4C651362" w:rsidR="00183335" w:rsidRPr="00183335" w:rsidRDefault="00183335" w:rsidP="00183335">
      <w:pPr>
        <w:pStyle w:val="NormalWeb"/>
        <w:numPr>
          <w:ilvl w:val="0"/>
          <w:numId w:val="10"/>
        </w:numPr>
        <w:spacing w:line="300" w:lineRule="atLeast"/>
        <w:jc w:val="both"/>
        <w:rPr>
          <w:rFonts w:ascii="Gill Sans MT" w:hAnsi="Gill Sans MT" w:cs="Segoe UI"/>
        </w:rPr>
      </w:pPr>
      <w:r w:rsidRPr="00183335">
        <w:rPr>
          <w:rFonts w:ascii="Gill Sans MT" w:hAnsi="Gill Sans MT" w:cs="Segoe UI"/>
        </w:rPr>
        <w:t>National policy-relevant work</w:t>
      </w:r>
    </w:p>
    <w:p w14:paraId="300B564D"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Note: Research informing national policy should be archived for ten (10) years.</w:t>
      </w:r>
    </w:p>
    <w:p w14:paraId="3DFAA615"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c. Images, Audio, and Video Recordings</w:t>
      </w:r>
    </w:p>
    <w:p w14:paraId="53C252DD"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Images, audio recordings, and video footage must be stored in their original form. If enhanced or edited versions are created, both the original and modified versions should be retained.</w:t>
      </w:r>
    </w:p>
    <w:p w14:paraId="60F1BCF4"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These data types must be stored for at least five (5) years after completion of the project unless:</w:t>
      </w:r>
    </w:p>
    <w:p w14:paraId="34EAC039" w14:textId="6FCE7227" w:rsidR="00183335" w:rsidRPr="00183335" w:rsidRDefault="00183335" w:rsidP="00183335">
      <w:pPr>
        <w:pStyle w:val="NormalWeb"/>
        <w:numPr>
          <w:ilvl w:val="0"/>
          <w:numId w:val="11"/>
        </w:numPr>
        <w:spacing w:line="300" w:lineRule="atLeast"/>
        <w:jc w:val="both"/>
        <w:rPr>
          <w:rFonts w:ascii="Gill Sans MT" w:hAnsi="Gill Sans MT" w:cs="Segoe UI"/>
        </w:rPr>
      </w:pPr>
      <w:r w:rsidRPr="00183335">
        <w:rPr>
          <w:rFonts w:ascii="Gill Sans MT" w:hAnsi="Gill Sans MT" w:cs="Segoe UI"/>
        </w:rPr>
        <w:t>Required for longitudinal work</w:t>
      </w:r>
    </w:p>
    <w:p w14:paraId="2CDD0D8B" w14:textId="799C1DDA" w:rsidR="00183335" w:rsidRPr="00183335" w:rsidRDefault="00183335" w:rsidP="00183335">
      <w:pPr>
        <w:pStyle w:val="NormalWeb"/>
        <w:numPr>
          <w:ilvl w:val="0"/>
          <w:numId w:val="11"/>
        </w:numPr>
        <w:spacing w:line="300" w:lineRule="atLeast"/>
        <w:jc w:val="both"/>
        <w:rPr>
          <w:rFonts w:ascii="Gill Sans MT" w:hAnsi="Gill Sans MT" w:cs="Segoe UI"/>
        </w:rPr>
      </w:pPr>
      <w:r w:rsidRPr="00183335">
        <w:rPr>
          <w:rFonts w:ascii="Gill Sans MT" w:hAnsi="Gill Sans MT" w:cs="Segoe UI"/>
        </w:rPr>
        <w:t>Retention is mandated by ethical approval conditions</w:t>
      </w:r>
    </w:p>
    <w:p w14:paraId="375D683C" w14:textId="1F95BB76" w:rsidR="00183335" w:rsidRPr="00183335" w:rsidRDefault="00183335" w:rsidP="00183335">
      <w:pPr>
        <w:pStyle w:val="NormalWeb"/>
        <w:numPr>
          <w:ilvl w:val="0"/>
          <w:numId w:val="11"/>
        </w:numPr>
        <w:spacing w:line="300" w:lineRule="atLeast"/>
        <w:jc w:val="both"/>
        <w:rPr>
          <w:rFonts w:ascii="Gill Sans MT" w:hAnsi="Gill Sans MT" w:cs="Segoe UI"/>
        </w:rPr>
      </w:pPr>
      <w:r w:rsidRPr="00183335">
        <w:rPr>
          <w:rFonts w:ascii="Gill Sans MT" w:hAnsi="Gill Sans MT" w:cs="Segoe UI"/>
        </w:rPr>
        <w:t>Longer retention is justified by the nature of the research</w:t>
      </w:r>
    </w:p>
    <w:p w14:paraId="15749E5D"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Following the retention period, files should be securely deleted in accordance with DUT’s data disposal procedures.</w:t>
      </w:r>
    </w:p>
    <w:p w14:paraId="35EC2416"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d. Biological Samples (e.g., Blood, Plasma)</w:t>
      </w:r>
    </w:p>
    <w:p w14:paraId="3F3132B7"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Biological samples must be:</w:t>
      </w:r>
    </w:p>
    <w:p w14:paraId="5D735E56" w14:textId="35426499" w:rsidR="00183335" w:rsidRPr="00183335" w:rsidRDefault="00183335" w:rsidP="00183335">
      <w:pPr>
        <w:pStyle w:val="NormalWeb"/>
        <w:numPr>
          <w:ilvl w:val="0"/>
          <w:numId w:val="12"/>
        </w:numPr>
        <w:spacing w:line="300" w:lineRule="atLeast"/>
        <w:jc w:val="both"/>
        <w:rPr>
          <w:rFonts w:ascii="Gill Sans MT" w:hAnsi="Gill Sans MT" w:cs="Segoe UI"/>
        </w:rPr>
      </w:pPr>
      <w:r w:rsidRPr="00183335">
        <w:rPr>
          <w:rFonts w:ascii="Gill Sans MT" w:hAnsi="Gill Sans MT" w:cs="Segoe UI"/>
        </w:rPr>
        <w:t>Anonymised upon collection (coded and delinked from identifiers).</w:t>
      </w:r>
    </w:p>
    <w:p w14:paraId="2DF6EA80" w14:textId="377E1133" w:rsidR="00183335" w:rsidRPr="00183335" w:rsidRDefault="00183335" w:rsidP="00183335">
      <w:pPr>
        <w:pStyle w:val="NormalWeb"/>
        <w:numPr>
          <w:ilvl w:val="0"/>
          <w:numId w:val="12"/>
        </w:numPr>
        <w:spacing w:line="300" w:lineRule="atLeast"/>
        <w:jc w:val="both"/>
        <w:rPr>
          <w:rFonts w:ascii="Gill Sans MT" w:hAnsi="Gill Sans MT" w:cs="Segoe UI"/>
        </w:rPr>
      </w:pPr>
      <w:r w:rsidRPr="00183335">
        <w:rPr>
          <w:rFonts w:ascii="Gill Sans MT" w:hAnsi="Gill Sans MT" w:cs="Segoe UI"/>
        </w:rPr>
        <w:t>Stored only for the duration necessary for analysis, typically 3–6 months, unless otherwise approved by IREC.</w:t>
      </w:r>
    </w:p>
    <w:p w14:paraId="748F017F" w14:textId="502502AE" w:rsidR="00183335" w:rsidRPr="00183335" w:rsidRDefault="00183335" w:rsidP="00183335">
      <w:pPr>
        <w:pStyle w:val="NormalWeb"/>
        <w:numPr>
          <w:ilvl w:val="0"/>
          <w:numId w:val="12"/>
        </w:numPr>
        <w:spacing w:line="300" w:lineRule="atLeast"/>
        <w:jc w:val="both"/>
        <w:rPr>
          <w:rFonts w:ascii="Gill Sans MT" w:hAnsi="Gill Sans MT" w:cs="Segoe UI"/>
        </w:rPr>
      </w:pPr>
      <w:r w:rsidRPr="00183335">
        <w:rPr>
          <w:rFonts w:ascii="Gill Sans MT" w:hAnsi="Gill Sans MT" w:cs="Segoe UI"/>
        </w:rPr>
        <w:t>Disposed of safely following the Code of Practice for Handling Human Biological Materials and laboratory biosafety regulations.</w:t>
      </w:r>
    </w:p>
    <w:p w14:paraId="2D394C8A" w14:textId="77777777" w:rsidR="00183335" w:rsidRPr="00183335" w:rsidRDefault="00183335" w:rsidP="00183335">
      <w:pPr>
        <w:pStyle w:val="NormalWeb"/>
        <w:numPr>
          <w:ilvl w:val="0"/>
          <w:numId w:val="12"/>
        </w:numPr>
        <w:spacing w:line="300" w:lineRule="atLeast"/>
        <w:jc w:val="both"/>
        <w:rPr>
          <w:rFonts w:ascii="Gill Sans MT" w:hAnsi="Gill Sans MT" w:cs="Segoe UI"/>
        </w:rPr>
      </w:pPr>
      <w:r w:rsidRPr="00183335">
        <w:rPr>
          <w:rFonts w:ascii="Gill Sans MT" w:hAnsi="Gill Sans MT" w:cs="Segoe UI"/>
        </w:rPr>
        <w:t>No biological sample may be retained beyond the approved timeframe without renewed ethical approval.</w:t>
      </w:r>
    </w:p>
    <w:p w14:paraId="0A3A1716"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e. Longitudinal Studies</w:t>
      </w:r>
    </w:p>
    <w:p w14:paraId="71946F5F"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Data collected as part of a longitudinal study must be retained for the full duration of the study and for ten (10) years thereafter.</w:t>
      </w:r>
    </w:p>
    <w:p w14:paraId="66817B2F" w14:textId="77777777" w:rsidR="00183335" w:rsidRPr="00183335" w:rsidRDefault="00183335" w:rsidP="00183335">
      <w:pPr>
        <w:pStyle w:val="NormalWeb"/>
        <w:numPr>
          <w:ilvl w:val="0"/>
          <w:numId w:val="13"/>
        </w:numPr>
        <w:spacing w:line="300" w:lineRule="atLeast"/>
        <w:jc w:val="both"/>
        <w:rPr>
          <w:rFonts w:ascii="Gill Sans MT" w:hAnsi="Gill Sans MT" w:cs="Segoe UI"/>
        </w:rPr>
      </w:pPr>
      <w:r w:rsidRPr="00183335">
        <w:rPr>
          <w:rFonts w:ascii="Gill Sans MT" w:hAnsi="Gill Sans MT" w:cs="Segoe UI"/>
        </w:rPr>
        <w:t>Participants must be informed about:</w:t>
      </w:r>
    </w:p>
    <w:p w14:paraId="105F94AA" w14:textId="1B792826" w:rsidR="00183335" w:rsidRPr="00183335" w:rsidRDefault="00183335" w:rsidP="00183335">
      <w:pPr>
        <w:pStyle w:val="NormalWeb"/>
        <w:numPr>
          <w:ilvl w:val="0"/>
          <w:numId w:val="13"/>
        </w:numPr>
        <w:spacing w:line="300" w:lineRule="atLeast"/>
        <w:jc w:val="both"/>
        <w:rPr>
          <w:rFonts w:ascii="Gill Sans MT" w:hAnsi="Gill Sans MT" w:cs="Segoe UI"/>
        </w:rPr>
      </w:pPr>
      <w:r w:rsidRPr="00183335">
        <w:rPr>
          <w:rFonts w:ascii="Gill Sans MT" w:hAnsi="Gill Sans MT" w:cs="Segoe UI"/>
        </w:rPr>
        <w:t>How long the study will run</w:t>
      </w:r>
    </w:p>
    <w:p w14:paraId="3DD70863" w14:textId="081F1853" w:rsidR="00183335" w:rsidRPr="00183335" w:rsidRDefault="00183335" w:rsidP="00183335">
      <w:pPr>
        <w:pStyle w:val="NormalWeb"/>
        <w:numPr>
          <w:ilvl w:val="0"/>
          <w:numId w:val="13"/>
        </w:numPr>
        <w:spacing w:line="300" w:lineRule="atLeast"/>
        <w:jc w:val="both"/>
        <w:rPr>
          <w:rFonts w:ascii="Gill Sans MT" w:hAnsi="Gill Sans MT" w:cs="Segoe UI"/>
        </w:rPr>
      </w:pPr>
      <w:r w:rsidRPr="00183335">
        <w:rPr>
          <w:rFonts w:ascii="Gill Sans MT" w:hAnsi="Gill Sans MT" w:cs="Segoe UI"/>
        </w:rPr>
        <w:t>How long their data will be retained</w:t>
      </w:r>
    </w:p>
    <w:p w14:paraId="7D699481" w14:textId="6AF6A888" w:rsidR="00183335" w:rsidRPr="00183335" w:rsidRDefault="00183335" w:rsidP="00183335">
      <w:pPr>
        <w:pStyle w:val="NormalWeb"/>
        <w:numPr>
          <w:ilvl w:val="0"/>
          <w:numId w:val="13"/>
        </w:numPr>
        <w:spacing w:line="300" w:lineRule="atLeast"/>
        <w:jc w:val="both"/>
        <w:rPr>
          <w:rFonts w:ascii="Gill Sans MT" w:hAnsi="Gill Sans MT" w:cs="Segoe UI"/>
        </w:rPr>
      </w:pPr>
      <w:r w:rsidRPr="00183335">
        <w:rPr>
          <w:rFonts w:ascii="Gill Sans MT" w:hAnsi="Gill Sans MT" w:cs="Segoe UI"/>
        </w:rPr>
        <w:lastRenderedPageBreak/>
        <w:t>Any extensions to the study period</w:t>
      </w:r>
    </w:p>
    <w:p w14:paraId="56731132"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Participants must also be reminded of their ongoing right to withdraw, unless the data has been anonymised and can no longer be linked back to them.</w:t>
      </w:r>
    </w:p>
    <w:p w14:paraId="1767A094"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Note: Maintaining data in its original form is critical should the validity of published findings ever be challenged.</w:t>
      </w:r>
    </w:p>
    <w:p w14:paraId="7D881971" w14:textId="77777777" w:rsidR="00183335" w:rsidRPr="00077B36" w:rsidRDefault="00183335" w:rsidP="00183335">
      <w:pPr>
        <w:pStyle w:val="NormalWeb"/>
        <w:spacing w:line="300" w:lineRule="atLeast"/>
        <w:jc w:val="both"/>
        <w:rPr>
          <w:rFonts w:ascii="Gill Sans MT" w:hAnsi="Gill Sans MT" w:cs="Segoe UI"/>
          <w:b/>
          <w:bCs/>
        </w:rPr>
      </w:pPr>
      <w:r w:rsidRPr="00077B36">
        <w:rPr>
          <w:rFonts w:ascii="Gill Sans MT" w:hAnsi="Gill Sans MT" w:cs="Segoe UI"/>
          <w:b/>
          <w:bCs/>
        </w:rPr>
        <w:t>6. Recording Methods of Data Collection</w:t>
      </w:r>
    </w:p>
    <w:p w14:paraId="6944EF6C"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Researchers must maintain clear, complete, and accurate records of all procedures followed during a research project. This includes:</w:t>
      </w:r>
    </w:p>
    <w:p w14:paraId="14A1E751" w14:textId="625DA856"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Approvals granted (e.g., IREC, Gatekeeper)</w:t>
      </w:r>
    </w:p>
    <w:p w14:paraId="2233C32D" w14:textId="01B47E04" w:rsidR="00183335" w:rsidRPr="00183335" w:rsidRDefault="00183335" w:rsidP="00077B36">
      <w:pPr>
        <w:pStyle w:val="NormalWeb"/>
        <w:numPr>
          <w:ilvl w:val="0"/>
          <w:numId w:val="14"/>
        </w:numPr>
        <w:spacing w:line="300" w:lineRule="atLeast"/>
        <w:jc w:val="both"/>
        <w:rPr>
          <w:rFonts w:ascii="Gill Sans MT" w:hAnsi="Gill Sans MT" w:cs="Segoe UI"/>
        </w:rPr>
      </w:pPr>
      <w:r w:rsidRPr="00183335">
        <w:rPr>
          <w:rFonts w:ascii="Gill Sans MT" w:hAnsi="Gill Sans MT" w:cs="Segoe UI"/>
        </w:rPr>
        <w:t>Data collection methods</w:t>
      </w:r>
    </w:p>
    <w:p w14:paraId="36D36A64" w14:textId="013DEF52" w:rsidR="00183335" w:rsidRPr="00183335" w:rsidRDefault="00183335" w:rsidP="00077B36">
      <w:pPr>
        <w:pStyle w:val="NormalWeb"/>
        <w:numPr>
          <w:ilvl w:val="0"/>
          <w:numId w:val="14"/>
        </w:numPr>
        <w:spacing w:line="300" w:lineRule="atLeast"/>
        <w:jc w:val="both"/>
        <w:rPr>
          <w:rFonts w:ascii="Gill Sans MT" w:hAnsi="Gill Sans MT" w:cs="Segoe UI"/>
        </w:rPr>
      </w:pPr>
      <w:r w:rsidRPr="00183335">
        <w:rPr>
          <w:rFonts w:ascii="Gill Sans MT" w:hAnsi="Gill Sans MT" w:cs="Segoe UI"/>
        </w:rPr>
        <w:t>Fieldwork dates</w:t>
      </w:r>
    </w:p>
    <w:p w14:paraId="67A55E62" w14:textId="2E08682B" w:rsidR="00183335" w:rsidRPr="00183335" w:rsidRDefault="00183335" w:rsidP="00077B36">
      <w:pPr>
        <w:pStyle w:val="NormalWeb"/>
        <w:numPr>
          <w:ilvl w:val="0"/>
          <w:numId w:val="14"/>
        </w:numPr>
        <w:spacing w:line="300" w:lineRule="atLeast"/>
        <w:jc w:val="both"/>
        <w:rPr>
          <w:rFonts w:ascii="Gill Sans MT" w:hAnsi="Gill Sans MT" w:cs="Segoe UI"/>
        </w:rPr>
      </w:pPr>
      <w:r w:rsidRPr="00183335">
        <w:rPr>
          <w:rFonts w:ascii="Gill Sans MT" w:hAnsi="Gill Sans MT" w:cs="Segoe UI"/>
        </w:rPr>
        <w:t>Interim analyses</w:t>
      </w:r>
    </w:p>
    <w:p w14:paraId="4E22D08F" w14:textId="3D658168" w:rsidR="00183335" w:rsidRPr="00183335" w:rsidRDefault="00183335" w:rsidP="00077B36">
      <w:pPr>
        <w:pStyle w:val="NormalWeb"/>
        <w:numPr>
          <w:ilvl w:val="0"/>
          <w:numId w:val="14"/>
        </w:numPr>
        <w:spacing w:line="300" w:lineRule="atLeast"/>
        <w:jc w:val="both"/>
        <w:rPr>
          <w:rFonts w:ascii="Gill Sans MT" w:hAnsi="Gill Sans MT" w:cs="Segoe UI"/>
        </w:rPr>
      </w:pPr>
      <w:r w:rsidRPr="00183335">
        <w:rPr>
          <w:rFonts w:ascii="Gill Sans MT" w:hAnsi="Gill Sans MT" w:cs="Segoe UI"/>
        </w:rPr>
        <w:t>Any amendments to procedures</w:t>
      </w:r>
    </w:p>
    <w:p w14:paraId="28A7DA90"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These records serve as evidence of compliance with ethical, legal, and institutional requirements and are essential if questions arise regarding the integrity of the research or the validity of the findings.</w:t>
      </w:r>
    </w:p>
    <w:p w14:paraId="4A788D45" w14:textId="77777777" w:rsidR="00183335" w:rsidRPr="00077B36" w:rsidRDefault="00183335" w:rsidP="00183335">
      <w:pPr>
        <w:pStyle w:val="NormalWeb"/>
        <w:spacing w:line="300" w:lineRule="atLeast"/>
        <w:jc w:val="both"/>
        <w:rPr>
          <w:rFonts w:ascii="Gill Sans MT" w:hAnsi="Gill Sans MT" w:cs="Segoe UI"/>
          <w:b/>
          <w:bCs/>
        </w:rPr>
      </w:pPr>
      <w:r w:rsidRPr="00077B36">
        <w:rPr>
          <w:rFonts w:ascii="Gill Sans MT" w:hAnsi="Gill Sans MT" w:cs="Segoe UI"/>
          <w:b/>
          <w:bCs/>
        </w:rPr>
        <w:t>7. Withdrawal of Data</w:t>
      </w:r>
    </w:p>
    <w:p w14:paraId="0DD06A6F"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Participants must be informed of their right to request withdrawal or destruction of their data. Researchers should make every reasonable effort to comply unless:</w:t>
      </w:r>
    </w:p>
    <w:p w14:paraId="0F8FDA0D" w14:textId="0D7F92F8" w:rsidR="00183335" w:rsidRPr="00183335" w:rsidRDefault="00183335" w:rsidP="00077B36">
      <w:pPr>
        <w:pStyle w:val="NormalWeb"/>
        <w:numPr>
          <w:ilvl w:val="0"/>
          <w:numId w:val="15"/>
        </w:numPr>
        <w:spacing w:line="300" w:lineRule="atLeast"/>
        <w:jc w:val="both"/>
        <w:rPr>
          <w:rFonts w:ascii="Gill Sans MT" w:hAnsi="Gill Sans MT" w:cs="Segoe UI"/>
        </w:rPr>
      </w:pPr>
      <w:proofErr w:type="gramStart"/>
      <w:r w:rsidRPr="00183335">
        <w:rPr>
          <w:rFonts w:ascii="Gill Sans MT" w:hAnsi="Gill Sans MT" w:cs="Segoe UI"/>
        </w:rPr>
        <w:t>Final results</w:t>
      </w:r>
      <w:proofErr w:type="gramEnd"/>
      <w:r w:rsidRPr="00183335">
        <w:rPr>
          <w:rFonts w:ascii="Gill Sans MT" w:hAnsi="Gill Sans MT" w:cs="Segoe UI"/>
        </w:rPr>
        <w:t xml:space="preserve"> have already been published</w:t>
      </w:r>
    </w:p>
    <w:p w14:paraId="1CACE144" w14:textId="1B4EE334" w:rsidR="00183335" w:rsidRPr="00183335" w:rsidRDefault="00183335" w:rsidP="00077B36">
      <w:pPr>
        <w:pStyle w:val="NormalWeb"/>
        <w:numPr>
          <w:ilvl w:val="0"/>
          <w:numId w:val="15"/>
        </w:numPr>
        <w:spacing w:line="300" w:lineRule="atLeast"/>
        <w:jc w:val="both"/>
        <w:rPr>
          <w:rFonts w:ascii="Gill Sans MT" w:hAnsi="Gill Sans MT" w:cs="Segoe UI"/>
        </w:rPr>
      </w:pPr>
      <w:r w:rsidRPr="00183335">
        <w:rPr>
          <w:rFonts w:ascii="Gill Sans MT" w:hAnsi="Gill Sans MT" w:cs="Segoe UI"/>
        </w:rPr>
        <w:t>The data has been fully anonymised and cannot be linked back to an individual</w:t>
      </w:r>
    </w:p>
    <w:p w14:paraId="2F4ABE8D" w14:textId="0799EAE5" w:rsidR="00183335" w:rsidRPr="00183335" w:rsidRDefault="00183335" w:rsidP="00077B36">
      <w:pPr>
        <w:pStyle w:val="NormalWeb"/>
        <w:numPr>
          <w:ilvl w:val="0"/>
          <w:numId w:val="15"/>
        </w:numPr>
        <w:spacing w:line="300" w:lineRule="atLeast"/>
        <w:jc w:val="both"/>
        <w:rPr>
          <w:rFonts w:ascii="Gill Sans MT" w:hAnsi="Gill Sans MT" w:cs="Segoe UI"/>
        </w:rPr>
      </w:pPr>
      <w:r w:rsidRPr="00183335">
        <w:rPr>
          <w:rFonts w:ascii="Gill Sans MT" w:hAnsi="Gill Sans MT" w:cs="Segoe UI"/>
        </w:rPr>
        <w:t>Data forms part of aggregate or cohort analyses where individual extraction is impossible</w:t>
      </w:r>
    </w:p>
    <w:p w14:paraId="617D00AF" w14:textId="77777777" w:rsidR="00183335" w:rsidRPr="00183335" w:rsidRDefault="00183335" w:rsidP="00077B36">
      <w:pPr>
        <w:pStyle w:val="NormalWeb"/>
        <w:numPr>
          <w:ilvl w:val="0"/>
          <w:numId w:val="15"/>
        </w:numPr>
        <w:spacing w:line="300" w:lineRule="atLeast"/>
        <w:jc w:val="both"/>
        <w:rPr>
          <w:rFonts w:ascii="Gill Sans MT" w:hAnsi="Gill Sans MT" w:cs="Segoe UI"/>
        </w:rPr>
      </w:pPr>
      <w:r w:rsidRPr="00183335">
        <w:rPr>
          <w:rFonts w:ascii="Gill Sans MT" w:hAnsi="Gill Sans MT" w:cs="Segoe UI"/>
        </w:rPr>
        <w:t>All withdrawal procedures must be communicated clearly during the consent process.</w:t>
      </w:r>
    </w:p>
    <w:p w14:paraId="13903522" w14:textId="44824EA2" w:rsidR="00183335" w:rsidRPr="00077B36" w:rsidRDefault="00183335" w:rsidP="00183335">
      <w:pPr>
        <w:pStyle w:val="NormalWeb"/>
        <w:spacing w:line="300" w:lineRule="atLeast"/>
        <w:jc w:val="both"/>
        <w:rPr>
          <w:rFonts w:ascii="Gill Sans MT" w:hAnsi="Gill Sans MT" w:cs="Segoe UI"/>
          <w:b/>
          <w:bCs/>
        </w:rPr>
      </w:pPr>
      <w:r w:rsidRPr="00077B36">
        <w:rPr>
          <w:rFonts w:ascii="Gill Sans MT" w:hAnsi="Gill Sans MT" w:cs="Segoe UI"/>
          <w:b/>
          <w:bCs/>
        </w:rPr>
        <w:t xml:space="preserve">8. </w:t>
      </w:r>
      <w:r w:rsidR="00077B36" w:rsidRPr="00077B36">
        <w:rPr>
          <w:rFonts w:ascii="Gill Sans MT" w:hAnsi="Gill Sans MT" w:cs="Segoe UI"/>
          <w:b/>
          <w:bCs/>
        </w:rPr>
        <w:t>Informed Consent and Data Ownership</w:t>
      </w:r>
    </w:p>
    <w:p w14:paraId="1E5320FC" w14:textId="77777777" w:rsidR="00183335" w:rsidRP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t>Participants must receive complete and transparent information regarding:</w:t>
      </w:r>
    </w:p>
    <w:p w14:paraId="76252FE5" w14:textId="75020F93" w:rsidR="00183335" w:rsidRPr="00183335" w:rsidRDefault="00183335" w:rsidP="00077B36">
      <w:pPr>
        <w:pStyle w:val="NormalWeb"/>
        <w:numPr>
          <w:ilvl w:val="0"/>
          <w:numId w:val="16"/>
        </w:numPr>
        <w:spacing w:line="300" w:lineRule="atLeast"/>
        <w:jc w:val="both"/>
        <w:rPr>
          <w:rFonts w:ascii="Gill Sans MT" w:hAnsi="Gill Sans MT" w:cs="Segoe UI"/>
        </w:rPr>
      </w:pPr>
      <w:r w:rsidRPr="00183335">
        <w:rPr>
          <w:rFonts w:ascii="Gill Sans MT" w:hAnsi="Gill Sans MT" w:cs="Segoe UI"/>
        </w:rPr>
        <w:t>Ownership of the data generated during the research</w:t>
      </w:r>
    </w:p>
    <w:p w14:paraId="0BAB67EB" w14:textId="3CB573C8" w:rsidR="00183335" w:rsidRPr="00183335" w:rsidRDefault="00183335" w:rsidP="00077B36">
      <w:pPr>
        <w:pStyle w:val="NormalWeb"/>
        <w:numPr>
          <w:ilvl w:val="0"/>
          <w:numId w:val="16"/>
        </w:numPr>
        <w:spacing w:line="300" w:lineRule="atLeast"/>
        <w:jc w:val="both"/>
        <w:rPr>
          <w:rFonts w:ascii="Gill Sans MT" w:hAnsi="Gill Sans MT" w:cs="Segoe UI"/>
        </w:rPr>
      </w:pPr>
      <w:r w:rsidRPr="00183335">
        <w:rPr>
          <w:rFonts w:ascii="Gill Sans MT" w:hAnsi="Gill Sans MT" w:cs="Segoe UI"/>
        </w:rPr>
        <w:t>The format in which the data will be stored</w:t>
      </w:r>
    </w:p>
    <w:p w14:paraId="49BE626F" w14:textId="437A6053" w:rsidR="00183335" w:rsidRPr="00183335" w:rsidRDefault="00183335" w:rsidP="00077B36">
      <w:pPr>
        <w:pStyle w:val="NormalWeb"/>
        <w:numPr>
          <w:ilvl w:val="0"/>
          <w:numId w:val="16"/>
        </w:numPr>
        <w:spacing w:line="300" w:lineRule="atLeast"/>
        <w:jc w:val="both"/>
        <w:rPr>
          <w:rFonts w:ascii="Gill Sans MT" w:hAnsi="Gill Sans MT" w:cs="Segoe UI"/>
        </w:rPr>
      </w:pPr>
      <w:r w:rsidRPr="00183335">
        <w:rPr>
          <w:rFonts w:ascii="Gill Sans MT" w:hAnsi="Gill Sans MT" w:cs="Segoe UI"/>
        </w:rPr>
        <w:t>Who will have access to the data</w:t>
      </w:r>
    </w:p>
    <w:p w14:paraId="27D321C7" w14:textId="27EE89CB" w:rsidR="00183335" w:rsidRDefault="00183335" w:rsidP="00077B36">
      <w:pPr>
        <w:pStyle w:val="NormalWeb"/>
        <w:numPr>
          <w:ilvl w:val="0"/>
          <w:numId w:val="16"/>
        </w:numPr>
        <w:spacing w:line="300" w:lineRule="atLeast"/>
        <w:jc w:val="both"/>
        <w:rPr>
          <w:rFonts w:ascii="Gill Sans MT" w:hAnsi="Gill Sans MT" w:cs="Segoe UI"/>
        </w:rPr>
      </w:pPr>
      <w:r w:rsidRPr="00183335">
        <w:rPr>
          <w:rFonts w:ascii="Gill Sans MT" w:hAnsi="Gill Sans MT" w:cs="Segoe UI"/>
        </w:rPr>
        <w:t>The duration of data storage</w:t>
      </w:r>
    </w:p>
    <w:p w14:paraId="69C3A6E2" w14:textId="7374BCA2" w:rsidR="00183335" w:rsidRDefault="00183335" w:rsidP="00183335">
      <w:pPr>
        <w:pStyle w:val="NormalWeb"/>
        <w:numPr>
          <w:ilvl w:val="0"/>
          <w:numId w:val="16"/>
        </w:numPr>
        <w:spacing w:line="300" w:lineRule="atLeast"/>
        <w:jc w:val="both"/>
        <w:rPr>
          <w:rFonts w:ascii="Gill Sans MT" w:hAnsi="Gill Sans MT" w:cs="Segoe UI"/>
        </w:rPr>
      </w:pPr>
      <w:r w:rsidRPr="00077B36">
        <w:rPr>
          <w:rFonts w:ascii="Gill Sans MT" w:hAnsi="Gill Sans MT" w:cs="Segoe UI"/>
        </w:rPr>
        <w:t>The purpose for which the data will be used</w:t>
      </w:r>
    </w:p>
    <w:p w14:paraId="11E612E8" w14:textId="01AEA124" w:rsidR="00183335" w:rsidRDefault="00183335" w:rsidP="00183335">
      <w:pPr>
        <w:pStyle w:val="NormalWeb"/>
        <w:numPr>
          <w:ilvl w:val="0"/>
          <w:numId w:val="16"/>
        </w:numPr>
        <w:spacing w:line="300" w:lineRule="atLeast"/>
        <w:jc w:val="both"/>
        <w:rPr>
          <w:rFonts w:ascii="Gill Sans MT" w:hAnsi="Gill Sans MT" w:cs="Segoe UI"/>
        </w:rPr>
      </w:pPr>
      <w:r w:rsidRPr="00077B36">
        <w:rPr>
          <w:rFonts w:ascii="Gill Sans MT" w:hAnsi="Gill Sans MT" w:cs="Segoe UI"/>
        </w:rPr>
        <w:t>Ownership and dissemination of the final research outputs (publications, reports, etc.)</w:t>
      </w:r>
    </w:p>
    <w:p w14:paraId="427009D9" w14:textId="77777777" w:rsidR="00183335" w:rsidRPr="00077B36" w:rsidRDefault="00183335" w:rsidP="00077B36">
      <w:pPr>
        <w:pStyle w:val="NormalWeb"/>
        <w:numPr>
          <w:ilvl w:val="0"/>
          <w:numId w:val="16"/>
        </w:numPr>
        <w:spacing w:line="300" w:lineRule="atLeast"/>
        <w:jc w:val="both"/>
        <w:rPr>
          <w:rFonts w:ascii="Gill Sans MT" w:hAnsi="Gill Sans MT" w:cs="Segoe UI"/>
        </w:rPr>
      </w:pPr>
      <w:r w:rsidRPr="00077B36">
        <w:rPr>
          <w:rFonts w:ascii="Gill Sans MT" w:hAnsi="Gill Sans MT" w:cs="Segoe UI"/>
        </w:rPr>
        <w:t>Ideally, written informed consent should be obtained from all participants.</w:t>
      </w:r>
    </w:p>
    <w:p w14:paraId="5F36B32E" w14:textId="77777777" w:rsidR="00183335" w:rsidRDefault="00183335" w:rsidP="00183335">
      <w:pPr>
        <w:pStyle w:val="NormalWeb"/>
        <w:spacing w:line="300" w:lineRule="atLeast"/>
        <w:jc w:val="both"/>
        <w:rPr>
          <w:rFonts w:ascii="Gill Sans MT" w:hAnsi="Gill Sans MT" w:cs="Segoe UI"/>
        </w:rPr>
      </w:pPr>
      <w:r w:rsidRPr="00183335">
        <w:rPr>
          <w:rFonts w:ascii="Gill Sans MT" w:hAnsi="Gill Sans MT" w:cs="Segoe UI"/>
        </w:rPr>
        <w:lastRenderedPageBreak/>
        <w:t>Copies of signed consent forms should be stored securely with the raw data and retained for the same legally required timeframe.</w:t>
      </w:r>
    </w:p>
    <w:p w14:paraId="11970885" w14:textId="20AA48D6" w:rsidR="00077B36" w:rsidRDefault="00077B36" w:rsidP="00183335">
      <w:pPr>
        <w:pStyle w:val="NormalWeb"/>
        <w:spacing w:line="300" w:lineRule="atLeast"/>
        <w:jc w:val="both"/>
        <w:rPr>
          <w:rFonts w:ascii="Gill Sans MT" w:hAnsi="Gill Sans MT" w:cs="Segoe UI"/>
          <w:b/>
          <w:bCs/>
        </w:rPr>
      </w:pPr>
      <w:r w:rsidRPr="00077B36">
        <w:rPr>
          <w:rFonts w:ascii="Gill Sans MT" w:hAnsi="Gill Sans MT" w:cs="Segoe UI"/>
          <w:b/>
          <w:bCs/>
        </w:rPr>
        <w:t>9. Further Information and Guidance</w:t>
      </w:r>
    </w:p>
    <w:p w14:paraId="2679921E" w14:textId="77777777" w:rsidR="00FF394E" w:rsidRPr="00FF394E" w:rsidRDefault="00FF394E" w:rsidP="00FF394E">
      <w:pPr>
        <w:pStyle w:val="NormalWeb"/>
        <w:spacing w:line="300" w:lineRule="atLeast"/>
        <w:jc w:val="both"/>
        <w:rPr>
          <w:rFonts w:ascii="Gill Sans MT" w:hAnsi="Gill Sans MT" w:cs="Segoe UI"/>
        </w:rPr>
      </w:pPr>
      <w:r w:rsidRPr="00FF394E">
        <w:rPr>
          <w:rFonts w:ascii="Gill Sans MT" w:hAnsi="Gill Sans MT" w:cs="Segoe UI"/>
        </w:rPr>
        <w:t>These guidelines provide a framework for responsible and compliant data management across the research lifecycle. They are not exhaustive, and researchers are expected to familiarise themselves with:</w:t>
      </w:r>
    </w:p>
    <w:p w14:paraId="20E74B36" w14:textId="74EFE9F1" w:rsidR="00FF394E" w:rsidRPr="00FF394E" w:rsidRDefault="00FF394E" w:rsidP="00FF394E">
      <w:pPr>
        <w:pStyle w:val="NormalWeb"/>
        <w:numPr>
          <w:ilvl w:val="0"/>
          <w:numId w:val="17"/>
        </w:numPr>
        <w:spacing w:line="300" w:lineRule="atLeast"/>
        <w:jc w:val="both"/>
        <w:rPr>
          <w:rFonts w:ascii="Gill Sans MT" w:hAnsi="Gill Sans MT" w:cs="Segoe UI"/>
        </w:rPr>
      </w:pPr>
      <w:r w:rsidRPr="00FF394E">
        <w:rPr>
          <w:rFonts w:ascii="Gill Sans MT" w:hAnsi="Gill Sans MT" w:cs="Segoe UI"/>
        </w:rPr>
        <w:t>DUT’s Research Ethics Policy</w:t>
      </w:r>
    </w:p>
    <w:p w14:paraId="643D26F0" w14:textId="0DA0CD34" w:rsidR="00FF394E" w:rsidRPr="00FF394E" w:rsidRDefault="00FF394E" w:rsidP="00FF394E">
      <w:pPr>
        <w:pStyle w:val="NormalWeb"/>
        <w:numPr>
          <w:ilvl w:val="0"/>
          <w:numId w:val="17"/>
        </w:numPr>
        <w:spacing w:line="300" w:lineRule="atLeast"/>
        <w:jc w:val="both"/>
        <w:rPr>
          <w:rFonts w:ascii="Gill Sans MT" w:hAnsi="Gill Sans MT" w:cs="Segoe UI"/>
        </w:rPr>
      </w:pPr>
      <w:r w:rsidRPr="00FF394E">
        <w:rPr>
          <w:rFonts w:ascii="Gill Sans MT" w:hAnsi="Gill Sans MT" w:cs="Segoe UI"/>
        </w:rPr>
        <w:t>DUT’s Research Data Management Policy</w:t>
      </w:r>
    </w:p>
    <w:p w14:paraId="190BBA9A" w14:textId="5C5BA5FB" w:rsidR="00FF394E" w:rsidRPr="00FF394E" w:rsidRDefault="00FF394E" w:rsidP="00FF394E">
      <w:pPr>
        <w:pStyle w:val="NormalWeb"/>
        <w:numPr>
          <w:ilvl w:val="0"/>
          <w:numId w:val="17"/>
        </w:numPr>
        <w:spacing w:line="300" w:lineRule="atLeast"/>
        <w:jc w:val="both"/>
        <w:rPr>
          <w:rFonts w:ascii="Gill Sans MT" w:hAnsi="Gill Sans MT" w:cs="Segoe UI"/>
        </w:rPr>
      </w:pPr>
      <w:r w:rsidRPr="00FF394E">
        <w:rPr>
          <w:rFonts w:ascii="Gill Sans MT" w:hAnsi="Gill Sans MT" w:cs="Segoe UI"/>
        </w:rPr>
        <w:t>POPIA</w:t>
      </w:r>
    </w:p>
    <w:p w14:paraId="7202719F" w14:textId="3A4DA3D1" w:rsidR="00FF394E" w:rsidRPr="00FF394E" w:rsidRDefault="00FF394E" w:rsidP="00FF394E">
      <w:pPr>
        <w:pStyle w:val="NormalWeb"/>
        <w:numPr>
          <w:ilvl w:val="0"/>
          <w:numId w:val="17"/>
        </w:numPr>
        <w:spacing w:line="300" w:lineRule="atLeast"/>
        <w:jc w:val="both"/>
        <w:rPr>
          <w:rFonts w:ascii="Gill Sans MT" w:hAnsi="Gill Sans MT" w:cs="Segoe UI"/>
        </w:rPr>
      </w:pPr>
      <w:r w:rsidRPr="00FF394E">
        <w:rPr>
          <w:rFonts w:ascii="Gill Sans MT" w:hAnsi="Gill Sans MT" w:cs="Segoe UI"/>
        </w:rPr>
        <w:t>National Department of Health 2024 guidelines</w:t>
      </w:r>
    </w:p>
    <w:p w14:paraId="62CDCC22" w14:textId="4EAA975E" w:rsidR="00FF394E" w:rsidRPr="00FF394E" w:rsidRDefault="00FF394E" w:rsidP="00FF394E">
      <w:pPr>
        <w:pStyle w:val="NormalWeb"/>
        <w:numPr>
          <w:ilvl w:val="0"/>
          <w:numId w:val="17"/>
        </w:numPr>
        <w:spacing w:line="300" w:lineRule="atLeast"/>
        <w:jc w:val="both"/>
        <w:rPr>
          <w:rFonts w:ascii="Gill Sans MT" w:hAnsi="Gill Sans MT" w:cs="Segoe UI"/>
        </w:rPr>
      </w:pPr>
      <w:r w:rsidRPr="00FF394E">
        <w:rPr>
          <w:rFonts w:ascii="Gill Sans MT" w:hAnsi="Gill Sans MT" w:cs="Segoe UI"/>
        </w:rPr>
        <w:t>Any discipline specific legislation or professional codes</w:t>
      </w:r>
    </w:p>
    <w:p w14:paraId="0385F9AA" w14:textId="0C1D196F" w:rsidR="00FF394E" w:rsidRDefault="00FF394E" w:rsidP="00FF394E">
      <w:pPr>
        <w:pStyle w:val="NormalWeb"/>
        <w:spacing w:line="300" w:lineRule="atLeast"/>
        <w:jc w:val="both"/>
        <w:rPr>
          <w:rFonts w:ascii="Gill Sans MT" w:hAnsi="Gill Sans MT" w:cs="Segoe UI"/>
        </w:rPr>
      </w:pPr>
      <w:r w:rsidRPr="00FF394E">
        <w:rPr>
          <w:rFonts w:ascii="Gill Sans MT" w:hAnsi="Gill Sans MT" w:cs="Segoe UI"/>
        </w:rPr>
        <w:t>Researchers are encouraged to seek clarification from IREC when uncertain about specific ethical or data management requirements.</w:t>
      </w:r>
    </w:p>
    <w:p w14:paraId="0BF58994" w14:textId="3BAC104F" w:rsidR="00FF394E" w:rsidRPr="00FF394E" w:rsidRDefault="00FF394E" w:rsidP="00FF394E">
      <w:pPr>
        <w:pStyle w:val="NormalWeb"/>
        <w:spacing w:line="300" w:lineRule="atLeast"/>
        <w:jc w:val="both"/>
        <w:rPr>
          <w:rFonts w:ascii="Gill Sans MT" w:hAnsi="Gill Sans MT" w:cs="Segoe UI"/>
          <w:b/>
          <w:bCs/>
        </w:rPr>
      </w:pPr>
      <w:r w:rsidRPr="00FF394E">
        <w:rPr>
          <w:rFonts w:ascii="Gill Sans MT" w:hAnsi="Gill Sans MT" w:cs="Segoe UI"/>
          <w:b/>
          <w:bCs/>
        </w:rPr>
        <w:t>REFERENCES</w:t>
      </w:r>
    </w:p>
    <w:p w14:paraId="65AB9D9F" w14:textId="20F29A19"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South African Legislation (Key for IREC)</w:t>
      </w:r>
    </w:p>
    <w:p w14:paraId="03CAD912"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Protection of Personal Information Act (POPIA)</w:t>
      </w:r>
    </w:p>
    <w:p w14:paraId="17F64821"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Republic of South Africa.</w:t>
      </w:r>
    </w:p>
    <w:p w14:paraId="5E39E37E"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Protection of Personal Information Act 4 of 2013.</w:t>
      </w:r>
    </w:p>
    <w:p w14:paraId="703A0FDF"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National Health Act</w:t>
      </w:r>
    </w:p>
    <w:p w14:paraId="7E7FD97D"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Republic of South Africa.</w:t>
      </w:r>
    </w:p>
    <w:p w14:paraId="09C79DCE"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National Health Act 61 of 2003.</w:t>
      </w:r>
    </w:p>
    <w:p w14:paraId="6A0B15AB" w14:textId="0E6BAB94"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National Research Ethics Guidance (Core IREC References)</w:t>
      </w:r>
    </w:p>
    <w:p w14:paraId="464B200E"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National Health Research Ethics Council (NHREC)</w:t>
      </w:r>
    </w:p>
    <w:p w14:paraId="4B19983F"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Department of Health, South Africa.</w:t>
      </w:r>
    </w:p>
    <w:p w14:paraId="2FF27697"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Ethics in Health Research: Principles, Processes and Structures (latest edition).</w:t>
      </w:r>
    </w:p>
    <w:p w14:paraId="7F232421"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Guidelines for Good Practice in the Conduct of Clinical Trials and Research.</w:t>
      </w:r>
    </w:p>
    <w:p w14:paraId="3CB3CF53" w14:textId="58F2D22D"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 xml:space="preserve">Institutional and Policy-Based References </w:t>
      </w:r>
    </w:p>
    <w:p w14:paraId="5ACA257D" w14:textId="74A76AD8"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International Best Practice (Often Used by Ethics Committees)</w:t>
      </w:r>
    </w:p>
    <w:p w14:paraId="180D14CA"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lastRenderedPageBreak/>
        <w:t>World Medical Association (WMA)</w:t>
      </w:r>
    </w:p>
    <w:p w14:paraId="48E33DD5"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Declaration of Helsinki – Ethical Principles for Medical Research Involving Human Subjects.</w:t>
      </w:r>
    </w:p>
    <w:p w14:paraId="6E27D773" w14:textId="7683708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OECD</w:t>
      </w:r>
      <w:r w:rsidR="00187E23">
        <w:rPr>
          <w:rFonts w:ascii="Gill Sans MT" w:hAnsi="Gill Sans MT" w:cs="Segoe UI"/>
        </w:rPr>
        <w:t xml:space="preserve">: </w:t>
      </w:r>
      <w:r w:rsidRPr="006F2001">
        <w:rPr>
          <w:rFonts w:ascii="Gill Sans MT" w:hAnsi="Gill Sans MT" w:cs="Segoe UI"/>
        </w:rPr>
        <w:t>OECD Principles and Guidelines for Access to Research Data from Public Funding.</w:t>
      </w:r>
    </w:p>
    <w:p w14:paraId="632EEF67" w14:textId="77777777"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UK Research Integrity Office (UKRIO)</w:t>
      </w:r>
    </w:p>
    <w:p w14:paraId="65A49082" w14:textId="135B4D70" w:rsidR="00FF394E" w:rsidRPr="006F2001" w:rsidRDefault="00FF394E" w:rsidP="00FF394E">
      <w:pPr>
        <w:pStyle w:val="NormalWeb"/>
        <w:spacing w:line="300" w:lineRule="atLeast"/>
        <w:jc w:val="both"/>
        <w:rPr>
          <w:rFonts w:ascii="Gill Sans MT" w:hAnsi="Gill Sans MT" w:cs="Segoe UI"/>
        </w:rPr>
      </w:pPr>
      <w:r w:rsidRPr="006F2001">
        <w:rPr>
          <w:rFonts w:ascii="Gill Sans MT" w:hAnsi="Gill Sans MT" w:cs="Segoe UI"/>
        </w:rPr>
        <w:t>Code of Practice for Research.</w:t>
      </w:r>
    </w:p>
    <w:p w14:paraId="5084D463" w14:textId="77777777" w:rsidR="00183335" w:rsidRPr="006F2001" w:rsidRDefault="00183335" w:rsidP="00183335">
      <w:pPr>
        <w:pStyle w:val="NormalWeb"/>
        <w:spacing w:line="300" w:lineRule="atLeast"/>
        <w:jc w:val="both"/>
        <w:rPr>
          <w:rFonts w:ascii="Gill Sans MT" w:hAnsi="Gill Sans MT" w:cs="Segoe UI"/>
        </w:rPr>
      </w:pPr>
    </w:p>
    <w:p w14:paraId="12D4AA4B" w14:textId="77777777" w:rsidR="00183335" w:rsidRPr="006F2001" w:rsidRDefault="00183335" w:rsidP="00183335">
      <w:pPr>
        <w:pStyle w:val="NormalWeb"/>
        <w:spacing w:line="300" w:lineRule="atLeast"/>
        <w:jc w:val="both"/>
        <w:rPr>
          <w:rFonts w:ascii="Gill Sans MT" w:hAnsi="Gill Sans MT" w:cs="Segoe UI"/>
        </w:rPr>
      </w:pPr>
    </w:p>
    <w:p w14:paraId="597A400F" w14:textId="77777777" w:rsidR="00EA5E14" w:rsidRPr="006F2001" w:rsidRDefault="00EA5E14" w:rsidP="00EA5E14">
      <w:pPr>
        <w:pStyle w:val="NormalWeb"/>
        <w:spacing w:line="300" w:lineRule="atLeast"/>
        <w:jc w:val="both"/>
        <w:rPr>
          <w:rFonts w:ascii="Gill Sans MT" w:hAnsi="Gill Sans MT" w:cs="Segoe UI"/>
        </w:rPr>
      </w:pPr>
    </w:p>
    <w:p w14:paraId="516E4BE0" w14:textId="77777777" w:rsidR="00EA5E14" w:rsidRPr="00EA5E14" w:rsidRDefault="00EA5E14">
      <w:pPr>
        <w:rPr>
          <w:rFonts w:ascii="Gill Sans MT" w:hAnsi="Gill Sans MT"/>
          <w:b/>
          <w:bCs/>
          <w:sz w:val="32"/>
          <w:szCs w:val="32"/>
        </w:rPr>
      </w:pPr>
    </w:p>
    <w:p w14:paraId="632C118B" w14:textId="77777777" w:rsidR="00EA5E14" w:rsidRDefault="00EA5E14">
      <w:pPr>
        <w:rPr>
          <w:rFonts w:ascii="Gill Sans MT" w:hAnsi="Gill Sans MT"/>
          <w:b/>
          <w:bCs/>
        </w:rPr>
      </w:pPr>
    </w:p>
    <w:p w14:paraId="0C80F635" w14:textId="77777777" w:rsidR="00EA5E14" w:rsidRPr="00EA5E14" w:rsidRDefault="00EA5E14">
      <w:pPr>
        <w:rPr>
          <w:rFonts w:ascii="Gill Sans MT" w:hAnsi="Gill Sans MT"/>
          <w:b/>
          <w:bCs/>
        </w:rPr>
      </w:pPr>
    </w:p>
    <w:p w14:paraId="693ACF71" w14:textId="77777777" w:rsidR="00EA5E14" w:rsidRDefault="00EA5E14"/>
    <w:sectPr w:rsidR="00EA5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5D5"/>
    <w:multiLevelType w:val="hybridMultilevel"/>
    <w:tmpl w:val="EB2EC3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FE7C78"/>
    <w:multiLevelType w:val="hybridMultilevel"/>
    <w:tmpl w:val="978C46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D6C253D"/>
    <w:multiLevelType w:val="hybridMultilevel"/>
    <w:tmpl w:val="80780B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292017"/>
    <w:multiLevelType w:val="hybridMultilevel"/>
    <w:tmpl w:val="838861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1EC2B86"/>
    <w:multiLevelType w:val="hybridMultilevel"/>
    <w:tmpl w:val="C6568A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46289C"/>
    <w:multiLevelType w:val="hybridMultilevel"/>
    <w:tmpl w:val="2CF054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FB12D4"/>
    <w:multiLevelType w:val="hybridMultilevel"/>
    <w:tmpl w:val="13F4C1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D575D4"/>
    <w:multiLevelType w:val="hybridMultilevel"/>
    <w:tmpl w:val="379A5F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E95EBF"/>
    <w:multiLevelType w:val="hybridMultilevel"/>
    <w:tmpl w:val="25883F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B176D9"/>
    <w:multiLevelType w:val="hybridMultilevel"/>
    <w:tmpl w:val="657CDE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7545D0"/>
    <w:multiLevelType w:val="hybridMultilevel"/>
    <w:tmpl w:val="13A895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8F970DF"/>
    <w:multiLevelType w:val="hybridMultilevel"/>
    <w:tmpl w:val="BB3461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0C046E3"/>
    <w:multiLevelType w:val="multilevel"/>
    <w:tmpl w:val="4EAE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2358"/>
    <w:multiLevelType w:val="multilevel"/>
    <w:tmpl w:val="5F9A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428DB"/>
    <w:multiLevelType w:val="hybridMultilevel"/>
    <w:tmpl w:val="1D767C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34A3F72"/>
    <w:multiLevelType w:val="hybridMultilevel"/>
    <w:tmpl w:val="52C814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89F4648"/>
    <w:multiLevelType w:val="hybridMultilevel"/>
    <w:tmpl w:val="F9A84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E363430"/>
    <w:multiLevelType w:val="hybridMultilevel"/>
    <w:tmpl w:val="A8A2D6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14D4ECA"/>
    <w:multiLevelType w:val="hybridMultilevel"/>
    <w:tmpl w:val="BCE2E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2B10AFF"/>
    <w:multiLevelType w:val="hybridMultilevel"/>
    <w:tmpl w:val="0722E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3D43118"/>
    <w:multiLevelType w:val="hybridMultilevel"/>
    <w:tmpl w:val="57DE67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E5D5C95"/>
    <w:multiLevelType w:val="hybridMultilevel"/>
    <w:tmpl w:val="33EC36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29C4CD5"/>
    <w:multiLevelType w:val="hybridMultilevel"/>
    <w:tmpl w:val="959AE4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A8A0CEC"/>
    <w:multiLevelType w:val="hybridMultilevel"/>
    <w:tmpl w:val="B1F80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B43282B"/>
    <w:multiLevelType w:val="hybridMultilevel"/>
    <w:tmpl w:val="475E37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BAC705E"/>
    <w:multiLevelType w:val="hybridMultilevel"/>
    <w:tmpl w:val="3B3276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F060017"/>
    <w:multiLevelType w:val="hybridMultilevel"/>
    <w:tmpl w:val="24D8E4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86B7E14"/>
    <w:multiLevelType w:val="hybridMultilevel"/>
    <w:tmpl w:val="3DBEF2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19627843">
    <w:abstractNumId w:val="13"/>
  </w:num>
  <w:num w:numId="2" w16cid:durableId="243881201">
    <w:abstractNumId w:val="12"/>
  </w:num>
  <w:num w:numId="3" w16cid:durableId="2090419236">
    <w:abstractNumId w:val="17"/>
  </w:num>
  <w:num w:numId="4" w16cid:durableId="510681063">
    <w:abstractNumId w:val="26"/>
  </w:num>
  <w:num w:numId="5" w16cid:durableId="191649964">
    <w:abstractNumId w:val="0"/>
  </w:num>
  <w:num w:numId="6" w16cid:durableId="1585070251">
    <w:abstractNumId w:val="4"/>
  </w:num>
  <w:num w:numId="7" w16cid:durableId="1956330030">
    <w:abstractNumId w:val="11"/>
  </w:num>
  <w:num w:numId="8" w16cid:durableId="1352679808">
    <w:abstractNumId w:val="6"/>
  </w:num>
  <w:num w:numId="9" w16cid:durableId="1988508847">
    <w:abstractNumId w:val="20"/>
  </w:num>
  <w:num w:numId="10" w16cid:durableId="388070170">
    <w:abstractNumId w:val="27"/>
  </w:num>
  <w:num w:numId="11" w16cid:durableId="1042023964">
    <w:abstractNumId w:val="5"/>
  </w:num>
  <w:num w:numId="12" w16cid:durableId="651298883">
    <w:abstractNumId w:val="3"/>
  </w:num>
  <w:num w:numId="13" w16cid:durableId="681080888">
    <w:abstractNumId w:val="21"/>
  </w:num>
  <w:num w:numId="14" w16cid:durableId="1416829124">
    <w:abstractNumId w:val="18"/>
  </w:num>
  <w:num w:numId="15" w16cid:durableId="1788087826">
    <w:abstractNumId w:val="23"/>
  </w:num>
  <w:num w:numId="16" w16cid:durableId="2131823005">
    <w:abstractNumId w:val="1"/>
  </w:num>
  <w:num w:numId="17" w16cid:durableId="1327635429">
    <w:abstractNumId w:val="22"/>
  </w:num>
  <w:num w:numId="18" w16cid:durableId="2054037052">
    <w:abstractNumId w:val="7"/>
  </w:num>
  <w:num w:numId="19" w16cid:durableId="351958475">
    <w:abstractNumId w:val="16"/>
  </w:num>
  <w:num w:numId="20" w16cid:durableId="531185378">
    <w:abstractNumId w:val="10"/>
  </w:num>
  <w:num w:numId="21" w16cid:durableId="349457732">
    <w:abstractNumId w:val="24"/>
  </w:num>
  <w:num w:numId="22" w16cid:durableId="1073118734">
    <w:abstractNumId w:val="15"/>
  </w:num>
  <w:num w:numId="23" w16cid:durableId="807628840">
    <w:abstractNumId w:val="25"/>
  </w:num>
  <w:num w:numId="24" w16cid:durableId="388771900">
    <w:abstractNumId w:val="9"/>
  </w:num>
  <w:num w:numId="25" w16cid:durableId="713693727">
    <w:abstractNumId w:val="19"/>
  </w:num>
  <w:num w:numId="26" w16cid:durableId="810832822">
    <w:abstractNumId w:val="8"/>
  </w:num>
  <w:num w:numId="27" w16cid:durableId="1598440655">
    <w:abstractNumId w:val="2"/>
  </w:num>
  <w:num w:numId="28" w16cid:durableId="16405296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14"/>
    <w:rsid w:val="00077B36"/>
    <w:rsid w:val="000C0911"/>
    <w:rsid w:val="00183335"/>
    <w:rsid w:val="00187E23"/>
    <w:rsid w:val="001F3FE2"/>
    <w:rsid w:val="002C13DC"/>
    <w:rsid w:val="00387CB1"/>
    <w:rsid w:val="006F2001"/>
    <w:rsid w:val="00931B6A"/>
    <w:rsid w:val="009D5855"/>
    <w:rsid w:val="00A03701"/>
    <w:rsid w:val="00A531B9"/>
    <w:rsid w:val="00E63A64"/>
    <w:rsid w:val="00EA5E14"/>
    <w:rsid w:val="00FB25CD"/>
    <w:rsid w:val="00FF39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6C98"/>
  <w15:chartTrackingRefBased/>
  <w15:docId w15:val="{8595DC7F-3891-402C-B19E-80F88B01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E14"/>
    <w:rPr>
      <w:rFonts w:eastAsiaTheme="majorEastAsia" w:cstheme="majorBidi"/>
      <w:color w:val="272727" w:themeColor="text1" w:themeTint="D8"/>
    </w:rPr>
  </w:style>
  <w:style w:type="paragraph" w:styleId="Title">
    <w:name w:val="Title"/>
    <w:basedOn w:val="Normal"/>
    <w:next w:val="Normal"/>
    <w:link w:val="TitleChar"/>
    <w:uiPriority w:val="10"/>
    <w:qFormat/>
    <w:rsid w:val="00EA5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E14"/>
    <w:pPr>
      <w:spacing w:before="160"/>
      <w:jc w:val="center"/>
    </w:pPr>
    <w:rPr>
      <w:i/>
      <w:iCs/>
      <w:color w:val="404040" w:themeColor="text1" w:themeTint="BF"/>
    </w:rPr>
  </w:style>
  <w:style w:type="character" w:customStyle="1" w:styleId="QuoteChar">
    <w:name w:val="Quote Char"/>
    <w:basedOn w:val="DefaultParagraphFont"/>
    <w:link w:val="Quote"/>
    <w:uiPriority w:val="29"/>
    <w:rsid w:val="00EA5E14"/>
    <w:rPr>
      <w:i/>
      <w:iCs/>
      <w:color w:val="404040" w:themeColor="text1" w:themeTint="BF"/>
    </w:rPr>
  </w:style>
  <w:style w:type="paragraph" w:styleId="ListParagraph">
    <w:name w:val="List Paragraph"/>
    <w:basedOn w:val="Normal"/>
    <w:uiPriority w:val="34"/>
    <w:qFormat/>
    <w:rsid w:val="00EA5E14"/>
    <w:pPr>
      <w:ind w:left="720"/>
      <w:contextualSpacing/>
    </w:pPr>
  </w:style>
  <w:style w:type="character" w:styleId="IntenseEmphasis">
    <w:name w:val="Intense Emphasis"/>
    <w:basedOn w:val="DefaultParagraphFont"/>
    <w:uiPriority w:val="21"/>
    <w:qFormat/>
    <w:rsid w:val="00EA5E14"/>
    <w:rPr>
      <w:i/>
      <w:iCs/>
      <w:color w:val="0F4761" w:themeColor="accent1" w:themeShade="BF"/>
    </w:rPr>
  </w:style>
  <w:style w:type="paragraph" w:styleId="IntenseQuote">
    <w:name w:val="Intense Quote"/>
    <w:basedOn w:val="Normal"/>
    <w:next w:val="Normal"/>
    <w:link w:val="IntenseQuoteChar"/>
    <w:uiPriority w:val="30"/>
    <w:qFormat/>
    <w:rsid w:val="00EA5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E14"/>
    <w:rPr>
      <w:i/>
      <w:iCs/>
      <w:color w:val="0F4761" w:themeColor="accent1" w:themeShade="BF"/>
    </w:rPr>
  </w:style>
  <w:style w:type="character" w:styleId="IntenseReference">
    <w:name w:val="Intense Reference"/>
    <w:basedOn w:val="DefaultParagraphFont"/>
    <w:uiPriority w:val="32"/>
    <w:qFormat/>
    <w:rsid w:val="00EA5E14"/>
    <w:rPr>
      <w:b/>
      <w:bCs/>
      <w:smallCaps/>
      <w:color w:val="0F4761" w:themeColor="accent1" w:themeShade="BF"/>
      <w:spacing w:val="5"/>
    </w:rPr>
  </w:style>
  <w:style w:type="paragraph" w:styleId="NormalWeb">
    <w:name w:val="Normal (Web)"/>
    <w:basedOn w:val="Normal"/>
    <w:uiPriority w:val="99"/>
    <w:unhideWhenUsed/>
    <w:rsid w:val="00EA5E14"/>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Strong">
    <w:name w:val="Strong"/>
    <w:basedOn w:val="DefaultParagraphFont"/>
    <w:uiPriority w:val="22"/>
    <w:qFormat/>
    <w:rsid w:val="00EA5E14"/>
    <w:rPr>
      <w:b/>
      <w:bCs/>
    </w:rPr>
  </w:style>
  <w:style w:type="paragraph" w:customStyle="1" w:styleId="pf0">
    <w:name w:val="pf0"/>
    <w:basedOn w:val="Normal"/>
    <w:rsid w:val="00EA5E14"/>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customStyle="1" w:styleId="cf01">
    <w:name w:val="cf01"/>
    <w:basedOn w:val="DefaultParagraphFont"/>
    <w:rsid w:val="00EA5E14"/>
    <w:rPr>
      <w:rFonts w:ascii="Segoe UI" w:hAnsi="Segoe UI" w:cs="Segoe UI" w:hint="default"/>
      <w:sz w:val="18"/>
      <w:szCs w:val="18"/>
    </w:rPr>
  </w:style>
  <w:style w:type="paragraph" w:customStyle="1" w:styleId="pf1">
    <w:name w:val="pf1"/>
    <w:basedOn w:val="Normal"/>
    <w:rsid w:val="00EA5E14"/>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customStyle="1" w:styleId="cf21">
    <w:name w:val="cf21"/>
    <w:basedOn w:val="DefaultParagraphFont"/>
    <w:rsid w:val="00EA5E1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2077</Words>
  <Characters>12588</Characters>
  <Application>Microsoft Office Word</Application>
  <DocSecurity>0</DocSecurity>
  <Lines>199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Ndaba</dc:creator>
  <cp:keywords/>
  <dc:description/>
  <cp:lastModifiedBy>Bongeka  Ndaba</cp:lastModifiedBy>
  <cp:revision>2</cp:revision>
  <dcterms:created xsi:type="dcterms:W3CDTF">2026-03-01T11:20:00Z</dcterms:created>
  <dcterms:modified xsi:type="dcterms:W3CDTF">2026-03-01T11:20:00Z</dcterms:modified>
</cp:coreProperties>
</file>